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0AEBE" w14:textId="516A9618" w:rsidR="00C876A7" w:rsidRPr="00C876A7" w:rsidRDefault="00C876A7" w:rsidP="000572CB">
      <w:pPr>
        <w:autoSpaceDE w:val="0"/>
        <w:autoSpaceDN w:val="0"/>
        <w:adjustRightInd w:val="0"/>
        <w:rPr>
          <w:rFonts w:cs="Times New Roman"/>
          <w:b/>
          <w:bCs/>
          <w:szCs w:val="24"/>
        </w:rPr>
      </w:pPr>
      <w:r w:rsidRPr="00C876A7">
        <w:rPr>
          <w:rFonts w:cs="Times New Roman"/>
          <w:b/>
          <w:bCs/>
          <w:szCs w:val="24"/>
        </w:rPr>
        <w:t>Avvertenze preliminari</w:t>
      </w:r>
    </w:p>
    <w:p w14:paraId="0B27BAAF" w14:textId="3CF1D3A1" w:rsidR="000572CB" w:rsidRDefault="000572CB" w:rsidP="000572CB">
      <w:pPr>
        <w:autoSpaceDE w:val="0"/>
        <w:autoSpaceDN w:val="0"/>
        <w:adjustRightInd w:val="0"/>
        <w:rPr>
          <w:rFonts w:cs="Times New Roman"/>
          <w:szCs w:val="24"/>
        </w:rPr>
      </w:pPr>
      <w:r w:rsidRPr="000572CB">
        <w:rPr>
          <w:rFonts w:cs="Times New Roman"/>
          <w:szCs w:val="24"/>
        </w:rPr>
        <w:t>La decisione che segue è stata emessa dalla terza sezione penale della Corte di Cassazione in esito all’udienza dell’8 febbraio 2022. Il suo numero identificativo è 19633/2022.</w:t>
      </w:r>
    </w:p>
    <w:p w14:paraId="3CE880FD" w14:textId="04758BA3" w:rsidR="000572CB" w:rsidRDefault="000572CB" w:rsidP="000572CB">
      <w:pPr>
        <w:autoSpaceDE w:val="0"/>
        <w:autoSpaceDN w:val="0"/>
        <w:adjustRightInd w:val="0"/>
        <w:rPr>
          <w:rFonts w:cs="Times New Roman"/>
          <w:szCs w:val="24"/>
        </w:rPr>
      </w:pPr>
      <w:r>
        <w:rPr>
          <w:rFonts w:cs="Times New Roman"/>
          <w:szCs w:val="24"/>
        </w:rPr>
        <w:t>È stata reperita nel sito Italgiure della Suprema Corte.</w:t>
      </w:r>
    </w:p>
    <w:p w14:paraId="2C7AAD08" w14:textId="75B2BB9F" w:rsidR="000572CB" w:rsidRDefault="000572CB" w:rsidP="000572CB">
      <w:pPr>
        <w:autoSpaceDE w:val="0"/>
        <w:autoSpaceDN w:val="0"/>
        <w:adjustRightInd w:val="0"/>
        <w:rPr>
          <w:rFonts w:cs="Times New Roman"/>
          <w:szCs w:val="24"/>
        </w:rPr>
      </w:pPr>
      <w:r>
        <w:rPr>
          <w:rFonts w:cs="Times New Roman"/>
          <w:szCs w:val="24"/>
        </w:rPr>
        <w:t>Il suo testo, originariamente in formato PDF, è stato convertito in formato World.</w:t>
      </w:r>
    </w:p>
    <w:p w14:paraId="338C66BF" w14:textId="77777777" w:rsidR="00C876A7" w:rsidRDefault="000572CB" w:rsidP="000572CB">
      <w:pPr>
        <w:autoSpaceDE w:val="0"/>
        <w:autoSpaceDN w:val="0"/>
        <w:adjustRightInd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Nel rispetto della privacy dei ricorrenti e di tutte le altre persone indicate </w:t>
      </w:r>
      <w:r w:rsidR="00C876A7">
        <w:rPr>
          <w:rFonts w:cs="Times New Roman"/>
          <w:szCs w:val="24"/>
        </w:rPr>
        <w:t xml:space="preserve">nel testo, tutti i riferimenti nominativi sono stati sostituitivi dalle iniziali. </w:t>
      </w:r>
    </w:p>
    <w:p w14:paraId="64D4BFD1" w14:textId="5BE5CAE5" w:rsidR="000572CB" w:rsidRDefault="00C876A7" w:rsidP="000572CB">
      <w:pPr>
        <w:autoSpaceDE w:val="0"/>
        <w:autoSpaceDN w:val="0"/>
        <w:adjustRightInd w:val="0"/>
        <w:rPr>
          <w:rFonts w:cs="Times New Roman"/>
          <w:szCs w:val="24"/>
        </w:rPr>
      </w:pPr>
      <w:r>
        <w:rPr>
          <w:rFonts w:cs="Times New Roman"/>
          <w:szCs w:val="24"/>
        </w:rPr>
        <w:t>I neretti sono degli autori del post.</w:t>
      </w:r>
    </w:p>
    <w:p w14:paraId="19A5A503" w14:textId="337F7D2C" w:rsidR="00C876A7" w:rsidRDefault="00C876A7" w:rsidP="000572CB">
      <w:pPr>
        <w:autoSpaceDE w:val="0"/>
        <w:autoSpaceDN w:val="0"/>
        <w:adjustRightInd w:val="0"/>
        <w:rPr>
          <w:rFonts w:cs="Times New Roman"/>
          <w:szCs w:val="24"/>
        </w:rPr>
      </w:pPr>
      <w:r>
        <w:rPr>
          <w:rFonts w:cs="Times New Roman"/>
          <w:szCs w:val="24"/>
        </w:rPr>
        <w:t>Per ogni altro aspetto il testo è esattamente conforme all’originale e riportato nella sua interezza.</w:t>
      </w:r>
    </w:p>
    <w:p w14:paraId="14F59769" w14:textId="77777777" w:rsidR="00C876A7" w:rsidRPr="000572CB" w:rsidRDefault="00C876A7" w:rsidP="000572CB">
      <w:pPr>
        <w:autoSpaceDE w:val="0"/>
        <w:autoSpaceDN w:val="0"/>
        <w:adjustRightInd w:val="0"/>
        <w:rPr>
          <w:rFonts w:cs="Times New Roman"/>
          <w:szCs w:val="24"/>
        </w:rPr>
      </w:pPr>
    </w:p>
    <w:p w14:paraId="780D993D" w14:textId="77777777" w:rsidR="00113060" w:rsidRDefault="00113060" w:rsidP="00264CF9">
      <w:pPr>
        <w:autoSpaceDE w:val="0"/>
        <w:autoSpaceDN w:val="0"/>
        <w:adjustRightInd w:val="0"/>
        <w:jc w:val="center"/>
        <w:rPr>
          <w:rFonts w:cs="Times New Roman"/>
          <w:b/>
          <w:bCs/>
          <w:szCs w:val="24"/>
        </w:rPr>
      </w:pPr>
    </w:p>
    <w:p w14:paraId="2F2B7604" w14:textId="77777777" w:rsidR="00113060" w:rsidRDefault="00113060" w:rsidP="00264CF9">
      <w:pPr>
        <w:autoSpaceDE w:val="0"/>
        <w:autoSpaceDN w:val="0"/>
        <w:adjustRightInd w:val="0"/>
        <w:jc w:val="center"/>
        <w:rPr>
          <w:rFonts w:cs="Times New Roman"/>
          <w:b/>
          <w:bCs/>
          <w:szCs w:val="24"/>
        </w:rPr>
      </w:pPr>
    </w:p>
    <w:p w14:paraId="51733D97" w14:textId="3CBCB9AA" w:rsidR="00DC5EFE" w:rsidRPr="00264CF9" w:rsidRDefault="00DC5EFE" w:rsidP="00264CF9">
      <w:pPr>
        <w:autoSpaceDE w:val="0"/>
        <w:autoSpaceDN w:val="0"/>
        <w:adjustRightInd w:val="0"/>
        <w:jc w:val="center"/>
        <w:rPr>
          <w:rFonts w:cs="Times New Roman"/>
          <w:b/>
          <w:bCs/>
          <w:szCs w:val="24"/>
        </w:rPr>
      </w:pPr>
      <w:r w:rsidRPr="00264CF9">
        <w:rPr>
          <w:rFonts w:cs="Times New Roman"/>
          <w:b/>
          <w:bCs/>
          <w:szCs w:val="24"/>
        </w:rPr>
        <w:t>SENTENZA</w:t>
      </w:r>
    </w:p>
    <w:p w14:paraId="4D0E9994" w14:textId="77777777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264CF9">
        <w:rPr>
          <w:rFonts w:cs="Times New Roman"/>
          <w:szCs w:val="24"/>
        </w:rPr>
        <w:t>sui ricorsi proposti da:</w:t>
      </w:r>
    </w:p>
    <w:p w14:paraId="4426A6CC" w14:textId="77777777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264CF9">
        <w:rPr>
          <w:rFonts w:cs="Times New Roman"/>
          <w:szCs w:val="24"/>
        </w:rPr>
        <w:t>PROCURATORE GENERALE PRESSO CORTE D'APPELLO DI MILANO</w:t>
      </w:r>
    </w:p>
    <w:p w14:paraId="19D9A665" w14:textId="77777777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264CF9">
        <w:rPr>
          <w:rFonts w:cs="Times New Roman"/>
          <w:szCs w:val="24"/>
        </w:rPr>
        <w:t>nel procedimento a carico di:</w:t>
      </w:r>
    </w:p>
    <w:p w14:paraId="4DD132B4" w14:textId="778ABD81" w:rsidR="00DC5EFE" w:rsidRPr="00264CF9" w:rsidRDefault="00264CF9" w:rsidP="00264CF9">
      <w:pPr>
        <w:autoSpaceDE w:val="0"/>
        <w:autoSpaceDN w:val="0"/>
        <w:adjustRightInd w:val="0"/>
        <w:rPr>
          <w:rFonts w:cs="Times New Roman"/>
          <w:szCs w:val="24"/>
        </w:rPr>
      </w:pPr>
      <w:r>
        <w:rPr>
          <w:rFonts w:cs="Times New Roman"/>
          <w:szCs w:val="24"/>
        </w:rPr>
        <w:t>MA</w:t>
      </w:r>
    </w:p>
    <w:p w14:paraId="6D92FE34" w14:textId="0CFA904C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264CF9">
        <w:rPr>
          <w:rFonts w:cs="Times New Roman"/>
          <w:szCs w:val="24"/>
        </w:rPr>
        <w:t>G</w:t>
      </w:r>
      <w:r w:rsidR="00264CF9">
        <w:rPr>
          <w:rFonts w:cs="Times New Roman"/>
          <w:szCs w:val="24"/>
        </w:rPr>
        <w:t>L</w:t>
      </w:r>
    </w:p>
    <w:p w14:paraId="3B2EF06D" w14:textId="77777777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264CF9">
        <w:rPr>
          <w:rFonts w:cs="Times New Roman"/>
          <w:szCs w:val="24"/>
        </w:rPr>
        <w:t>nel procedimento a carico di questi ultimi</w:t>
      </w:r>
    </w:p>
    <w:p w14:paraId="12CA4FDB" w14:textId="77777777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264CF9">
        <w:rPr>
          <w:rFonts w:cs="Times New Roman"/>
          <w:szCs w:val="24"/>
        </w:rPr>
        <w:t>avverso la sentenza del 19/03/2021 della CORTE APPELLO di MILANO</w:t>
      </w:r>
    </w:p>
    <w:p w14:paraId="76663842" w14:textId="77777777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264CF9">
        <w:rPr>
          <w:rFonts w:cs="Times New Roman"/>
          <w:szCs w:val="24"/>
        </w:rPr>
        <w:t>visti gli atti, il provvedimento impugnato e il ricorso;</w:t>
      </w:r>
    </w:p>
    <w:p w14:paraId="4A89228E" w14:textId="1DC7B7E7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264CF9">
        <w:rPr>
          <w:rFonts w:cs="Times New Roman"/>
          <w:szCs w:val="24"/>
        </w:rPr>
        <w:t xml:space="preserve">udita la relazione svolta dal Consigliere </w:t>
      </w:r>
      <w:r w:rsidR="00264CF9">
        <w:rPr>
          <w:rFonts w:cs="Times New Roman"/>
          <w:szCs w:val="24"/>
        </w:rPr>
        <w:t>AA</w:t>
      </w:r>
      <w:r w:rsidRPr="00264CF9">
        <w:rPr>
          <w:rFonts w:cs="Times New Roman"/>
          <w:szCs w:val="24"/>
        </w:rPr>
        <w:t>;</w:t>
      </w:r>
    </w:p>
    <w:p w14:paraId="09FF6EB1" w14:textId="77777777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264CF9">
        <w:rPr>
          <w:rFonts w:cs="Times New Roman"/>
          <w:szCs w:val="24"/>
        </w:rPr>
        <w:t>lette le richieste del Pubblico Ministero, in persona del Sostituto Procuratore Generale</w:t>
      </w:r>
    </w:p>
    <w:p w14:paraId="7B458987" w14:textId="4B0D47B5" w:rsidR="00DC5EFE" w:rsidRPr="00264CF9" w:rsidRDefault="00264CF9" w:rsidP="00264CF9">
      <w:pPr>
        <w:rPr>
          <w:rFonts w:cs="Times New Roman"/>
          <w:szCs w:val="24"/>
        </w:rPr>
      </w:pPr>
      <w:r>
        <w:rPr>
          <w:rFonts w:cs="Times New Roman"/>
          <w:szCs w:val="24"/>
        </w:rPr>
        <w:t>FM</w:t>
      </w:r>
      <w:r w:rsidR="00DC5EFE" w:rsidRPr="00264CF9">
        <w:rPr>
          <w:rFonts w:cs="Times New Roman"/>
          <w:szCs w:val="24"/>
        </w:rPr>
        <w:t xml:space="preserve"> che ha concluso chiedendo l'annullamento con rinvio.</w:t>
      </w:r>
    </w:p>
    <w:p w14:paraId="231ECB80" w14:textId="77777777" w:rsidR="00DC5EFE" w:rsidRPr="00264CF9" w:rsidRDefault="00DC5EFE" w:rsidP="00264CF9">
      <w:pPr>
        <w:autoSpaceDE w:val="0"/>
        <w:autoSpaceDN w:val="0"/>
        <w:adjustRightInd w:val="0"/>
        <w:jc w:val="center"/>
        <w:rPr>
          <w:rFonts w:cs="Times New Roman"/>
          <w:b/>
          <w:bCs/>
          <w:szCs w:val="24"/>
        </w:rPr>
      </w:pPr>
      <w:r w:rsidRPr="00264CF9">
        <w:rPr>
          <w:rFonts w:cs="Times New Roman"/>
          <w:b/>
          <w:bCs/>
          <w:szCs w:val="24"/>
        </w:rPr>
        <w:t>RITENUTO IN FATTO</w:t>
      </w:r>
    </w:p>
    <w:p w14:paraId="401978EA" w14:textId="6ED4C504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357ABF">
        <w:rPr>
          <w:rFonts w:cs="Times New Roman"/>
          <w:b/>
          <w:bCs/>
          <w:szCs w:val="24"/>
        </w:rPr>
        <w:t>1.</w:t>
      </w:r>
      <w:r w:rsidR="00357ABF">
        <w:rPr>
          <w:rFonts w:cs="Times New Roman"/>
          <w:szCs w:val="24"/>
        </w:rPr>
        <w:t xml:space="preserve">  </w:t>
      </w:r>
      <w:r w:rsidRPr="00264CF9">
        <w:rPr>
          <w:rFonts w:cs="Times New Roman"/>
          <w:szCs w:val="24"/>
        </w:rPr>
        <w:t>Con sentenza del 19/03/2021 la Corte di appello di Milano, in parziale</w:t>
      </w:r>
      <w:r w:rsidR="00A7575B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riforma della sentenza del 29/06/2020 del Tribunale della stessa città, applicate</w:t>
      </w:r>
      <w:r w:rsidR="00A7575B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 xml:space="preserve">a </w:t>
      </w:r>
      <w:r w:rsidR="00264CF9">
        <w:rPr>
          <w:rFonts w:cs="Times New Roman"/>
          <w:szCs w:val="24"/>
        </w:rPr>
        <w:t>LG</w:t>
      </w:r>
      <w:r w:rsidRPr="00264CF9">
        <w:rPr>
          <w:rFonts w:cs="Times New Roman"/>
          <w:szCs w:val="24"/>
        </w:rPr>
        <w:t xml:space="preserve"> e </w:t>
      </w:r>
      <w:r w:rsidR="00264CF9">
        <w:rPr>
          <w:rFonts w:cs="Times New Roman"/>
          <w:szCs w:val="24"/>
        </w:rPr>
        <w:t>AM</w:t>
      </w:r>
      <w:r w:rsidRPr="00264CF9">
        <w:rPr>
          <w:rFonts w:cs="Times New Roman"/>
          <w:szCs w:val="24"/>
        </w:rPr>
        <w:t xml:space="preserve"> le circostanze attenuanti generiche con giudizio</w:t>
      </w:r>
      <w:r w:rsidR="00A7575B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di equivalenza rispetto alla recidiva già ritenuta ed applicata in primo grado a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entrambi, ha diminuito la pena rideterminandola, nei confronti del primo, nella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misura di sei anni e tre mesi di reclusione e 30.000,00 euro di multa, e nei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confronti del secondo nella misura di otto anni e sei mesi di reclusione e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55.000,00 euro di multa, ha revocato la confisca disposta in primo grado ai sensi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dell'art. 73, comma 7-bis, d.P.R. n. 309 del 1990 e ha confermato nel resto la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 xml:space="preserve">condanna per i reati loro ascritti ai capi 5), 8) e 10), il </w:t>
      </w:r>
      <w:r w:rsidR="00264CF9">
        <w:rPr>
          <w:rFonts w:cs="Times New Roman"/>
          <w:szCs w:val="24"/>
        </w:rPr>
        <w:t>M</w:t>
      </w:r>
      <w:r w:rsidRPr="00264CF9">
        <w:rPr>
          <w:rFonts w:cs="Times New Roman"/>
          <w:szCs w:val="24"/>
        </w:rPr>
        <w:t xml:space="preserve">, e 9), il </w:t>
      </w:r>
      <w:r w:rsidR="00264CF9">
        <w:rPr>
          <w:rFonts w:cs="Times New Roman"/>
          <w:szCs w:val="24"/>
        </w:rPr>
        <w:t>G</w:t>
      </w:r>
      <w:r w:rsidRPr="00264CF9">
        <w:rPr>
          <w:rFonts w:cs="Times New Roman"/>
          <w:szCs w:val="24"/>
        </w:rPr>
        <w:t>.</w:t>
      </w:r>
    </w:p>
    <w:p w14:paraId="42F1D834" w14:textId="3AE8DE7D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264CF9">
        <w:rPr>
          <w:rFonts w:cs="Times New Roman"/>
          <w:szCs w:val="24"/>
        </w:rPr>
        <w:t xml:space="preserve">In particolare, si imputa al </w:t>
      </w:r>
      <w:r w:rsidR="00264CF9">
        <w:rPr>
          <w:rFonts w:cs="Times New Roman"/>
          <w:szCs w:val="24"/>
        </w:rPr>
        <w:t>M</w:t>
      </w:r>
      <w:r w:rsidRPr="00264CF9">
        <w:rPr>
          <w:rFonts w:cs="Times New Roman"/>
          <w:szCs w:val="24"/>
        </w:rPr>
        <w:t xml:space="preserve"> di aver: acquistato, a fine di cessione a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terzi, kg. 3,318 di sostanza stupefacente del tipo cocaina (capo 5; artt. 110, cod.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pen., 73, commi 1 e 6, d.P.R. n. 309 del 1990); acquistato e detenuto, a fine di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cessione a terzi, kg. 1,082 di sostanza stupefacente del tipo cocaina (capo 8;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artt. 110, cod. pen., 73, commi 1 e 6, d.P.R. n. 309 del 1990); acquistato e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detenuto, a fine di cessione a terzi, 14 chilogrammi di sostanza stupefacente del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tipo cocaina (capo 10; artt. 110, cod. pen., 73, commi 1 e 6, d.P.R. n. 309 del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1990).</w:t>
      </w:r>
    </w:p>
    <w:p w14:paraId="25F4DD98" w14:textId="6BCE0914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264CF9">
        <w:rPr>
          <w:rFonts w:cs="Times New Roman"/>
          <w:szCs w:val="24"/>
        </w:rPr>
        <w:t xml:space="preserve">Al </w:t>
      </w:r>
      <w:r w:rsidR="00264CF9">
        <w:rPr>
          <w:rFonts w:cs="Times New Roman"/>
          <w:szCs w:val="24"/>
        </w:rPr>
        <w:t>G</w:t>
      </w:r>
      <w:r w:rsidRPr="00264CF9">
        <w:rPr>
          <w:rFonts w:cs="Times New Roman"/>
          <w:szCs w:val="24"/>
        </w:rPr>
        <w:t xml:space="preserve"> si imputa, invece, di aver acquistato, detenuto e ceduto, a più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riprese, partite di sostanza stupefacente del tipo cocaina per quantità pari a 50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grammi ogni volta (capo 9; artt. 81, cpv., 110, cod. pen., 73, commi 1 e 6,</w:t>
      </w:r>
      <w:r w:rsidR="00C876A7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d.P.R. n. 309 del 1990)</w:t>
      </w:r>
    </w:p>
    <w:p w14:paraId="3809365B" w14:textId="73971466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357ABF">
        <w:rPr>
          <w:rFonts w:cs="Times New Roman"/>
          <w:b/>
          <w:bCs/>
          <w:szCs w:val="24"/>
        </w:rPr>
        <w:t>2.</w:t>
      </w:r>
      <w:r w:rsidR="00357ABF">
        <w:rPr>
          <w:rFonts w:cs="Times New Roman"/>
          <w:b/>
          <w:bCs/>
          <w:szCs w:val="24"/>
        </w:rPr>
        <w:t xml:space="preserve"> </w:t>
      </w:r>
      <w:r w:rsidRPr="00264CF9">
        <w:rPr>
          <w:rFonts w:cs="Times New Roman"/>
          <w:szCs w:val="24"/>
        </w:rPr>
        <w:t>Per l'annullamento della sentenza hanno proposto ricorso il Procuratore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generale di Milano e i due imputati</w:t>
      </w:r>
    </w:p>
    <w:p w14:paraId="54770E62" w14:textId="3CC0072F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357ABF">
        <w:rPr>
          <w:rFonts w:cs="Times New Roman"/>
          <w:b/>
          <w:bCs/>
          <w:szCs w:val="24"/>
        </w:rPr>
        <w:t>3.</w:t>
      </w:r>
      <w:r w:rsidR="00357ABF">
        <w:rPr>
          <w:rFonts w:cs="Times New Roman"/>
          <w:b/>
          <w:bCs/>
          <w:szCs w:val="24"/>
        </w:rPr>
        <w:t xml:space="preserve"> </w:t>
      </w:r>
      <w:r w:rsidR="00357ABF" w:rsidRPr="00357ABF">
        <w:rPr>
          <w:rFonts w:cs="Times New Roman"/>
          <w:szCs w:val="24"/>
        </w:rPr>
        <w:t>Il</w:t>
      </w:r>
      <w:r w:rsidR="00357ABF">
        <w:rPr>
          <w:rFonts w:cs="Times New Roman"/>
          <w:b/>
          <w:bCs/>
          <w:szCs w:val="24"/>
        </w:rPr>
        <w:t xml:space="preserve"> </w:t>
      </w:r>
      <w:r w:rsidRPr="00264CF9">
        <w:rPr>
          <w:rFonts w:cs="Times New Roman"/>
          <w:szCs w:val="24"/>
        </w:rPr>
        <w:t>ricorso del Procuratore generale.</w:t>
      </w:r>
    </w:p>
    <w:p w14:paraId="63F0F794" w14:textId="05F68744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357ABF">
        <w:rPr>
          <w:rFonts w:cs="Times New Roman"/>
          <w:b/>
          <w:bCs/>
          <w:szCs w:val="24"/>
        </w:rPr>
        <w:t>3.1.</w:t>
      </w:r>
      <w:r w:rsidR="00357ABF">
        <w:rPr>
          <w:rFonts w:cs="Times New Roman"/>
          <w:b/>
          <w:bCs/>
          <w:szCs w:val="24"/>
        </w:rPr>
        <w:t xml:space="preserve"> </w:t>
      </w:r>
      <w:r w:rsidRPr="00264CF9">
        <w:rPr>
          <w:rFonts w:cs="Times New Roman"/>
          <w:szCs w:val="24"/>
        </w:rPr>
        <w:t>Con il primo motivo deduce la violazione degli artt. 111, comma sesto,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Cost., e 546, comma 1, lett. e), cod. proc. pen., a causa della totale mancanza di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motivazione del provvedimento impugnato il quale consiste, afferma, di ventidue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pagine delle quali, escluse quelle dedicate all'intestazione, alla descrizione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dell'imputazione, allo svolgimento del processo, alla determinazione della pena e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alla pena, solo quindici si riducono alla spiegazione delle ragioni di fatto e di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diritto della decisione assunta di cui undici sono frutto di un vero e proprio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 xml:space="preserve">"copia-incolla" delle motivazioni, alla lettera, </w:t>
      </w:r>
      <w:r w:rsidRPr="00264CF9">
        <w:rPr>
          <w:rFonts w:cs="Times New Roman"/>
          <w:szCs w:val="24"/>
        </w:rPr>
        <w:lastRenderedPageBreak/>
        <w:t>della sentenza di primo grado (per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quanto riguarda la posizione del G) e dell'ordinanza di custodia cautelare in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carcere (per quanto riguarda la posizione del M), a sua volta frutto del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"copia-incolla" del provvedimento di fermo del pubblico ministero, frutto,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anch'esso, del "copia-incolla" dell'informativa di reato, pagg. 200-250. Le altre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quattro pagine, conclude il PG sul punto, sono dense di luoghi comuni e frasi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fatte adattabili a qualunque fattispecie. A non diversi rilievi si espone la parte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 xml:space="preserve">della sentenza dedicata alla valutazione della credibilità del co-imputato </w:t>
      </w:r>
      <w:r w:rsidR="00264CF9">
        <w:rPr>
          <w:rFonts w:cs="Times New Roman"/>
          <w:szCs w:val="24"/>
        </w:rPr>
        <w:t>C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a favore della cui credibilità la Corte di appello spende solo parole di circostanza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(non dice chi sia, non entra nel merito delle dichiarazioni rese, non indica a chi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ha reso le sue dichiarazioni) rimandando alla sentenza di primo grado che però lo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aveva ritenuto inattendibile.</w:t>
      </w:r>
    </w:p>
    <w:p w14:paraId="630C4D4A" w14:textId="3A4B1986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357ABF">
        <w:rPr>
          <w:rFonts w:cs="Times New Roman"/>
          <w:b/>
          <w:bCs/>
          <w:szCs w:val="24"/>
        </w:rPr>
        <w:t>3.2.</w:t>
      </w:r>
      <w:r w:rsidR="00357ABF">
        <w:rPr>
          <w:rFonts w:cs="Times New Roman"/>
          <w:b/>
          <w:bCs/>
          <w:szCs w:val="24"/>
        </w:rPr>
        <w:t xml:space="preserve"> </w:t>
      </w:r>
      <w:r w:rsidRPr="00264CF9">
        <w:rPr>
          <w:rFonts w:cs="Times New Roman"/>
          <w:szCs w:val="24"/>
        </w:rPr>
        <w:t>Con il secondo motivo deduce la violazione dell'obbligo di motivazione in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relazione a specifici argomenti fattuali e giuridici posti dal PG in sede di richiesta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di assoluzione degli imputati con riferimento ai seguenti punti: a) la perdita di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terzietà del giudice di primo grado in conseguenza della continua violazione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dell'art. 498, comma 1, cod. proc. pen., essendosi il tribunale sostanzialmente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sostituito al (e confuso con il) PM (onorario) di udienza nel condurre l'esame dei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due più importanti testimoni d'accusa, senza peraltro essere in possesso degli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atti di indagine sulla base dei quali poter effettuare eventuali contestazioni,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precisazioni, con conseguente acritica accettazione del loro narrato; b) le lacune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investigative e le intercettazioni ad interpretazione "fantasiosa e creativa" con</w:t>
      </w:r>
      <w:r w:rsidR="00357AB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riferimento alla posizione dei due imputati.</w:t>
      </w:r>
    </w:p>
    <w:p w14:paraId="68DBD943" w14:textId="00E06CF1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82200F">
        <w:rPr>
          <w:rFonts w:cs="Times New Roman"/>
          <w:b/>
          <w:bCs/>
          <w:szCs w:val="24"/>
        </w:rPr>
        <w:t>3.3.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Con il terzo motivo deduce la mancanza, la contraddittorietà e la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manifesta illogicità della motivazione in relazione alla rideterminazione della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pena operata sulla base della mera considerazione della eccessiva severità di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quest'ultima e della necessità di adeguarla al fatto benché la Corte di appello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stessa abbia ritenuto corretta e immune da censure la ricostruzione del fatto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stesso ad opera del Tribunale.</w:t>
      </w:r>
    </w:p>
    <w:p w14:paraId="552AD640" w14:textId="2FEEB4CF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82200F">
        <w:rPr>
          <w:rFonts w:cs="Times New Roman"/>
          <w:b/>
          <w:bCs/>
          <w:szCs w:val="24"/>
        </w:rPr>
        <w:t>3.</w:t>
      </w:r>
      <w:r w:rsidR="0082200F">
        <w:rPr>
          <w:rFonts w:cs="Times New Roman"/>
          <w:szCs w:val="24"/>
        </w:rPr>
        <w:t xml:space="preserve"> Il</w:t>
      </w:r>
      <w:r w:rsidRPr="00264CF9">
        <w:rPr>
          <w:rFonts w:cs="Times New Roman"/>
          <w:szCs w:val="24"/>
        </w:rPr>
        <w:t xml:space="preserve"> ricorso di </w:t>
      </w:r>
      <w:r w:rsidR="00264CF9">
        <w:rPr>
          <w:rFonts w:cs="Times New Roman"/>
          <w:szCs w:val="24"/>
        </w:rPr>
        <w:t>LG</w:t>
      </w:r>
      <w:r w:rsidRPr="00264CF9">
        <w:rPr>
          <w:rFonts w:cs="Times New Roman"/>
          <w:szCs w:val="24"/>
        </w:rPr>
        <w:t>.</w:t>
      </w:r>
    </w:p>
    <w:p w14:paraId="1DD0D4D7" w14:textId="4D75666C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82200F">
        <w:rPr>
          <w:rFonts w:cs="Times New Roman"/>
          <w:b/>
          <w:bCs/>
          <w:szCs w:val="24"/>
        </w:rPr>
        <w:t>3.1.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Con il primo motivo deduce la mancanza assoluta di motivazione in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ordine ai motivi di appello specificamente rubricati ai punti 1.1.1. (non univocità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 xml:space="preserve">dell'interpretazione della conversazione </w:t>
      </w:r>
      <w:r w:rsidR="00264CF9">
        <w:rPr>
          <w:rFonts w:cs="Times New Roman"/>
          <w:szCs w:val="24"/>
        </w:rPr>
        <w:t>G-C</w:t>
      </w:r>
      <w:r w:rsidRPr="00264CF9">
        <w:rPr>
          <w:rFonts w:cs="Times New Roman"/>
          <w:szCs w:val="24"/>
        </w:rPr>
        <w:t xml:space="preserve"> del 20/11/2016), 1.1.2.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 xml:space="preserve">(inconsistenza probatoria degli SMS di </w:t>
      </w:r>
      <w:r w:rsidR="00264CF9">
        <w:rPr>
          <w:rFonts w:cs="Times New Roman"/>
          <w:szCs w:val="24"/>
        </w:rPr>
        <w:t xml:space="preserve">G </w:t>
      </w:r>
      <w:r w:rsidRPr="00264CF9">
        <w:rPr>
          <w:rFonts w:cs="Times New Roman"/>
          <w:szCs w:val="24"/>
        </w:rPr>
        <w:t>verso G; deduzione peraltro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travisata dalla Corte di appello), 1.1.3. (contestazione del ragionamento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presuntivo per cui dal dialogo in cui si parla di "2000" è dedotto l'acquisto di 50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grammi), 1.1.4. (inconferenza probatoria del conteggio di banconote da parte di</w:t>
      </w:r>
      <w:r w:rsidR="0082200F">
        <w:rPr>
          <w:rFonts w:cs="Times New Roman"/>
          <w:szCs w:val="24"/>
        </w:rPr>
        <w:t xml:space="preserve"> </w:t>
      </w:r>
      <w:r w:rsidR="00264CF9">
        <w:rPr>
          <w:rFonts w:cs="Times New Roman"/>
          <w:szCs w:val="24"/>
        </w:rPr>
        <w:t>C</w:t>
      </w:r>
      <w:r w:rsidRPr="00264CF9">
        <w:rPr>
          <w:rFonts w:cs="Times New Roman"/>
          <w:szCs w:val="24"/>
        </w:rPr>
        <w:t xml:space="preserve"> nella propria auto, conteggio solo audito), 1.1.5. (illegittima utilizzazione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 xml:space="preserve">del verbale di interrogatorio di </w:t>
      </w:r>
      <w:r w:rsidR="00264CF9">
        <w:rPr>
          <w:rFonts w:cs="Times New Roman"/>
          <w:szCs w:val="24"/>
        </w:rPr>
        <w:t>C</w:t>
      </w:r>
      <w:r w:rsidRPr="00264CF9">
        <w:rPr>
          <w:rFonts w:cs="Times New Roman"/>
          <w:szCs w:val="24"/>
        </w:rPr>
        <w:t xml:space="preserve"> nelle parti citate dai testi di PG, con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conseguente aggiramento del divieto di lettura di cui all'art. 514 cod. proc. pen.)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e 1.2. (mancata considerazione degli elementi a discarico articolata in tre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sottopunti). La sentenza impugnata, afferma, consiste in un semplice riassunto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della sentenza di primo grado e nell'espressione generica di condivisione della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stessa attraverso il metodo del "copia-incolla" dai provvedimenti giurisdizionali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che l'hanno preceduta.</w:t>
      </w:r>
    </w:p>
    <w:p w14:paraId="4AA64D66" w14:textId="28F83E31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82200F">
        <w:rPr>
          <w:rFonts w:cs="Times New Roman"/>
          <w:b/>
          <w:bCs/>
          <w:szCs w:val="24"/>
        </w:rPr>
        <w:t>3.2.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Con il secondo motivo, riprendendo l'argomento dedotto con il primo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motivo in relazione all'omesso esame del punto 1.1.5. dell'appello, deduce la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violazione dell'art. 526, comma 1-bis, cod. proc. pen. sotto il profilo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dell'illegittima utilizzazione delle dichiarazioni rese dal C, imputato in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procedimento connesso che si è avvalso della facoltà di non rispondere</w:t>
      </w:r>
    </w:p>
    <w:p w14:paraId="68F41F43" w14:textId="77777777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264CF9">
        <w:rPr>
          <w:rFonts w:cs="Times New Roman"/>
          <w:szCs w:val="24"/>
        </w:rPr>
        <w:t>sottraendosi all'esame del ricorrente.</w:t>
      </w:r>
    </w:p>
    <w:p w14:paraId="66E5C858" w14:textId="5A9ADFEE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82200F">
        <w:rPr>
          <w:rFonts w:cs="Times New Roman"/>
          <w:b/>
          <w:bCs/>
          <w:szCs w:val="24"/>
        </w:rPr>
        <w:t>3.3.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Con il terzo motivo deduce l'erronea applicazione dell'art. 76, comma 6,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d.P.R. n. 309 del 1990, in considerazione del fatto che egli aveva acquistato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sostanza stupefacente relazionandosi ogni volta ad una sola persona.</w:t>
      </w:r>
    </w:p>
    <w:p w14:paraId="1843D301" w14:textId="0EF4C8C6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82200F">
        <w:rPr>
          <w:rFonts w:cs="Times New Roman"/>
          <w:b/>
          <w:bCs/>
          <w:szCs w:val="24"/>
        </w:rPr>
        <w:t>4.</w:t>
      </w:r>
      <w:r w:rsidR="0082200F">
        <w:rPr>
          <w:rFonts w:cs="Times New Roman"/>
          <w:szCs w:val="24"/>
        </w:rPr>
        <w:t xml:space="preserve"> Il</w:t>
      </w:r>
      <w:r w:rsidRPr="00264CF9">
        <w:rPr>
          <w:rFonts w:cs="Times New Roman"/>
          <w:szCs w:val="24"/>
        </w:rPr>
        <w:t xml:space="preserve"> ricorso di </w:t>
      </w:r>
      <w:r w:rsidR="00264CF9">
        <w:rPr>
          <w:rFonts w:cs="Times New Roman"/>
          <w:szCs w:val="24"/>
        </w:rPr>
        <w:t>AM</w:t>
      </w:r>
    </w:p>
    <w:p w14:paraId="2DFCE153" w14:textId="6D9B2124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82200F">
        <w:rPr>
          <w:rFonts w:cs="Times New Roman"/>
          <w:b/>
          <w:bCs/>
          <w:szCs w:val="24"/>
        </w:rPr>
        <w:t>4.1.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Con il primo motivo deduce la "violazione dell'art. 606, lett. b) ed e),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cod. proc. pen., in relazione all'art. 73 d.P.R. n. 309 del 1990.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Facendo propri gli argomenti del primo motivo del ricorso del PG, lamenta,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in estrema sintesi, l'illegittimo ricorso alla motivazione "per relationem" che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dissimula l'omessa motivazione sulle questioni devolute in sede di impugnazione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della sentenza di primo grado e la manifesta contraddittorietà e/o illogicità della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 xml:space="preserve">sentenza in ordine alla valutazione delle dichiarazioni del testimone </w:t>
      </w:r>
      <w:r w:rsidR="00264CF9">
        <w:rPr>
          <w:rFonts w:cs="Times New Roman"/>
          <w:szCs w:val="24"/>
        </w:rPr>
        <w:t>C.</w:t>
      </w:r>
    </w:p>
    <w:p w14:paraId="5C3EE55B" w14:textId="61782F26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82200F">
        <w:rPr>
          <w:rFonts w:cs="Times New Roman"/>
          <w:b/>
          <w:bCs/>
          <w:szCs w:val="24"/>
        </w:rPr>
        <w:lastRenderedPageBreak/>
        <w:t>4.2.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Con il secondo motivo deduce la contraddittorietà della motivazione in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ordine alla determinazione della pena che, pur ridotta, resta sproporzionata.</w:t>
      </w:r>
    </w:p>
    <w:p w14:paraId="005BC2C0" w14:textId="404C985D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82200F">
        <w:rPr>
          <w:rFonts w:cs="Times New Roman"/>
          <w:b/>
          <w:bCs/>
          <w:szCs w:val="24"/>
        </w:rPr>
        <w:t>5.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Con memoria trasmessa telematicamente il 18/01/2022, il difensore del</w:t>
      </w:r>
      <w:r w:rsidR="0082200F">
        <w:rPr>
          <w:rFonts w:cs="Times New Roman"/>
          <w:szCs w:val="24"/>
        </w:rPr>
        <w:t xml:space="preserve"> </w:t>
      </w:r>
      <w:r w:rsidR="00264CF9">
        <w:rPr>
          <w:rFonts w:cs="Times New Roman"/>
          <w:szCs w:val="24"/>
        </w:rPr>
        <w:t>M</w:t>
      </w:r>
      <w:r w:rsidRPr="00264CF9">
        <w:rPr>
          <w:rFonts w:cs="Times New Roman"/>
          <w:szCs w:val="24"/>
        </w:rPr>
        <w:t xml:space="preserve"> ha insistito per l'accoglimento del proprio ricorso chiedendo</w:t>
      </w:r>
      <w:r w:rsidR="0082200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l'annullamento senza rinvio della sentenza impugnata.</w:t>
      </w:r>
    </w:p>
    <w:p w14:paraId="5B4AE5AA" w14:textId="72651ABF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CB0A36">
        <w:rPr>
          <w:rFonts w:cs="Times New Roman"/>
          <w:b/>
          <w:bCs/>
          <w:szCs w:val="24"/>
        </w:rPr>
        <w:t>6.</w:t>
      </w:r>
      <w:r w:rsidR="0082200F">
        <w:rPr>
          <w:rFonts w:cs="Times New Roman"/>
          <w:szCs w:val="24"/>
        </w:rPr>
        <w:t xml:space="preserve"> Il</w:t>
      </w:r>
      <w:r w:rsidRPr="00264CF9">
        <w:rPr>
          <w:rFonts w:cs="Times New Roman"/>
          <w:szCs w:val="24"/>
        </w:rPr>
        <w:t xml:space="preserve"> Procuratore generale della Corte di cassazione ha concluso chiedendo</w:t>
      </w:r>
    </w:p>
    <w:p w14:paraId="63598126" w14:textId="77777777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264CF9">
        <w:rPr>
          <w:rFonts w:cs="Times New Roman"/>
          <w:szCs w:val="24"/>
        </w:rPr>
        <w:t>l'annullamento con rinvio della sentenza impugnata.</w:t>
      </w:r>
    </w:p>
    <w:p w14:paraId="7BBC8796" w14:textId="77777777" w:rsidR="00DC5EFE" w:rsidRPr="00264CF9" w:rsidRDefault="00DC5EFE" w:rsidP="00CB0A36">
      <w:pPr>
        <w:autoSpaceDE w:val="0"/>
        <w:autoSpaceDN w:val="0"/>
        <w:adjustRightInd w:val="0"/>
        <w:jc w:val="center"/>
        <w:rPr>
          <w:rFonts w:cs="Times New Roman"/>
          <w:b/>
          <w:bCs/>
          <w:szCs w:val="24"/>
        </w:rPr>
      </w:pPr>
      <w:r w:rsidRPr="00264CF9">
        <w:rPr>
          <w:rFonts w:cs="Times New Roman"/>
          <w:b/>
          <w:bCs/>
          <w:szCs w:val="24"/>
        </w:rPr>
        <w:t>CONSIDERATO IN DIRITTO</w:t>
      </w:r>
    </w:p>
    <w:p w14:paraId="49B85C58" w14:textId="6628B529" w:rsidR="00DC5EFE" w:rsidRPr="00264CF9" w:rsidRDefault="00CB0A36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CB0A36">
        <w:rPr>
          <w:rFonts w:cs="Times New Roman"/>
          <w:b/>
          <w:bCs/>
          <w:szCs w:val="24"/>
        </w:rPr>
        <w:t>1.</w:t>
      </w:r>
      <w:r>
        <w:rPr>
          <w:rFonts w:cs="Times New Roman"/>
          <w:szCs w:val="24"/>
        </w:rPr>
        <w:t xml:space="preserve"> </w:t>
      </w:r>
      <w:r w:rsidR="00DC5EFE" w:rsidRPr="00CB0A36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Il </w:t>
      </w:r>
      <w:r w:rsidR="00DC5EFE" w:rsidRPr="00CB0A36">
        <w:rPr>
          <w:rFonts w:cs="Times New Roman"/>
          <w:szCs w:val="24"/>
        </w:rPr>
        <w:t>primo motivo del ricorso del Procuratore generale di Milano e il primo</w:t>
      </w:r>
      <w:r>
        <w:rPr>
          <w:rFonts w:cs="Times New Roman"/>
          <w:szCs w:val="24"/>
        </w:rPr>
        <w:t xml:space="preserve"> </w:t>
      </w:r>
      <w:r w:rsidR="00DC5EFE" w:rsidRPr="00264CF9">
        <w:rPr>
          <w:rFonts w:cs="Times New Roman"/>
          <w:szCs w:val="24"/>
        </w:rPr>
        <w:t>motivo di entrambi i ricorsi degli imputati sono fondati e assorbenti.</w:t>
      </w:r>
    </w:p>
    <w:p w14:paraId="6EEF92E0" w14:textId="6276854F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CB0A36">
        <w:rPr>
          <w:rFonts w:cs="Times New Roman"/>
          <w:b/>
          <w:bCs/>
          <w:szCs w:val="24"/>
        </w:rPr>
        <w:t>2.</w:t>
      </w:r>
      <w:r w:rsidR="00CB0A36">
        <w:rPr>
          <w:rFonts w:cs="Times New Roman"/>
          <w:szCs w:val="24"/>
        </w:rPr>
        <w:t xml:space="preserve"> </w:t>
      </w:r>
      <w:r w:rsidRPr="00C876A7">
        <w:rPr>
          <w:rFonts w:cs="Times New Roman"/>
          <w:b/>
          <w:bCs/>
          <w:szCs w:val="24"/>
        </w:rPr>
        <w:t>Dal confronto tra la sentenza impugnata (che consta di complessive 22</w:t>
      </w:r>
      <w:r w:rsidR="00CB0A36" w:rsidRPr="00C876A7">
        <w:rPr>
          <w:rFonts w:cs="Times New Roman"/>
          <w:b/>
          <w:bCs/>
          <w:szCs w:val="24"/>
        </w:rPr>
        <w:t xml:space="preserve"> </w:t>
      </w:r>
      <w:r w:rsidRPr="00C876A7">
        <w:rPr>
          <w:rFonts w:cs="Times New Roman"/>
          <w:b/>
          <w:bCs/>
          <w:szCs w:val="24"/>
        </w:rPr>
        <w:t>pagine) e quella di primo grado (composta da 25 pagine) emerge con palmare</w:t>
      </w:r>
      <w:r w:rsidR="00CB0A36" w:rsidRPr="00C876A7">
        <w:rPr>
          <w:rFonts w:cs="Times New Roman"/>
          <w:b/>
          <w:bCs/>
          <w:szCs w:val="24"/>
        </w:rPr>
        <w:t xml:space="preserve"> </w:t>
      </w:r>
      <w:r w:rsidRPr="00C876A7">
        <w:rPr>
          <w:rFonts w:cs="Times New Roman"/>
          <w:b/>
          <w:bCs/>
          <w:szCs w:val="24"/>
        </w:rPr>
        <w:t>evidenza la (peraltro dichiarata) letterale trascrizione di parti significative delle</w:t>
      </w:r>
      <w:r w:rsidR="00CB0A36" w:rsidRPr="00C876A7">
        <w:rPr>
          <w:rFonts w:cs="Times New Roman"/>
          <w:b/>
          <w:bCs/>
          <w:szCs w:val="24"/>
        </w:rPr>
        <w:t xml:space="preserve"> </w:t>
      </w:r>
      <w:r w:rsidRPr="00C876A7">
        <w:rPr>
          <w:rFonts w:cs="Times New Roman"/>
          <w:b/>
          <w:bCs/>
          <w:szCs w:val="24"/>
        </w:rPr>
        <w:t xml:space="preserve">pagine 17 e 18 della sentenza di primo grado in relazione alla figura del </w:t>
      </w:r>
      <w:r w:rsidR="00264CF9" w:rsidRPr="00C876A7">
        <w:rPr>
          <w:rFonts w:cs="Times New Roman"/>
          <w:b/>
          <w:bCs/>
          <w:szCs w:val="24"/>
        </w:rPr>
        <w:t>G</w:t>
      </w:r>
      <w:r w:rsidRPr="00264CF9">
        <w:rPr>
          <w:rFonts w:cs="Times New Roman"/>
          <w:szCs w:val="24"/>
        </w:rPr>
        <w:t>;</w:t>
      </w:r>
    </w:p>
    <w:p w14:paraId="60D244D2" w14:textId="0400C6F7" w:rsidR="00DC5EFE" w:rsidRPr="00C876A7" w:rsidRDefault="00DC5EFE" w:rsidP="00264CF9">
      <w:pPr>
        <w:autoSpaceDE w:val="0"/>
        <w:autoSpaceDN w:val="0"/>
        <w:adjustRightInd w:val="0"/>
        <w:rPr>
          <w:rFonts w:cs="Times New Roman"/>
          <w:b/>
          <w:bCs/>
          <w:szCs w:val="24"/>
        </w:rPr>
      </w:pPr>
      <w:r w:rsidRPr="00C876A7">
        <w:rPr>
          <w:rFonts w:cs="Times New Roman"/>
          <w:b/>
          <w:bCs/>
          <w:szCs w:val="24"/>
        </w:rPr>
        <w:t xml:space="preserve">la posizione del </w:t>
      </w:r>
      <w:r w:rsidR="00264CF9" w:rsidRPr="00C876A7">
        <w:rPr>
          <w:rFonts w:cs="Times New Roman"/>
          <w:b/>
          <w:bCs/>
          <w:szCs w:val="24"/>
        </w:rPr>
        <w:t>M</w:t>
      </w:r>
      <w:r w:rsidRPr="00C876A7">
        <w:rPr>
          <w:rFonts w:cs="Times New Roman"/>
          <w:b/>
          <w:bCs/>
          <w:szCs w:val="24"/>
        </w:rPr>
        <w:t>, invece, è sviluppata nelle pagine da 8 a 17 della</w:t>
      </w:r>
      <w:r w:rsidR="00CB0A36" w:rsidRPr="00C876A7">
        <w:rPr>
          <w:rFonts w:cs="Times New Roman"/>
          <w:b/>
          <w:bCs/>
          <w:szCs w:val="24"/>
        </w:rPr>
        <w:t xml:space="preserve"> </w:t>
      </w:r>
      <w:r w:rsidRPr="00C876A7">
        <w:rPr>
          <w:rFonts w:cs="Times New Roman"/>
          <w:b/>
          <w:bCs/>
          <w:szCs w:val="24"/>
        </w:rPr>
        <w:t>sentenza impugnata che effettivamente replica, alla lettera, il contenuto delle</w:t>
      </w:r>
      <w:r w:rsidR="00CB0A36" w:rsidRPr="00C876A7">
        <w:rPr>
          <w:rFonts w:cs="Times New Roman"/>
          <w:b/>
          <w:bCs/>
          <w:szCs w:val="24"/>
        </w:rPr>
        <w:t xml:space="preserve"> </w:t>
      </w:r>
      <w:r w:rsidRPr="00C876A7">
        <w:rPr>
          <w:rFonts w:cs="Times New Roman"/>
          <w:b/>
          <w:bCs/>
          <w:szCs w:val="24"/>
        </w:rPr>
        <w:t>pagine da 26 a 30 (per il capo 5) e da 32 a 34 (per i capi 8 e 10) dell'ordinanza</w:t>
      </w:r>
      <w:r w:rsidR="00CB0A36" w:rsidRPr="00C876A7">
        <w:rPr>
          <w:rFonts w:cs="Times New Roman"/>
          <w:b/>
          <w:bCs/>
          <w:szCs w:val="24"/>
        </w:rPr>
        <w:t xml:space="preserve"> </w:t>
      </w:r>
      <w:r w:rsidRPr="00C876A7">
        <w:rPr>
          <w:rFonts w:cs="Times New Roman"/>
          <w:b/>
          <w:bCs/>
          <w:szCs w:val="24"/>
        </w:rPr>
        <w:t>del 29/06/2018 del GIP del Tribunale di Milano</w:t>
      </w:r>
      <w:r w:rsidRPr="00264CF9">
        <w:rPr>
          <w:rFonts w:cs="Times New Roman"/>
          <w:szCs w:val="24"/>
        </w:rPr>
        <w:t xml:space="preserve"> che aveva applicato al M la</w:t>
      </w:r>
      <w:r w:rsidR="00CB0A36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custodia cautelare in carcere per i medesimi fatti oggetto di odierna</w:t>
      </w:r>
      <w:r w:rsidR="00CB0A36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 xml:space="preserve">regiudicanda. </w:t>
      </w:r>
      <w:r w:rsidRPr="00C876A7">
        <w:rPr>
          <w:rFonts w:cs="Times New Roman"/>
          <w:b/>
          <w:bCs/>
          <w:szCs w:val="24"/>
        </w:rPr>
        <w:t>Risulta dunque provata la deduzione del PG ricorrente secondo cui,</w:t>
      </w:r>
      <w:r w:rsidR="00CB0A36" w:rsidRPr="00C876A7">
        <w:rPr>
          <w:rFonts w:cs="Times New Roman"/>
          <w:b/>
          <w:bCs/>
          <w:szCs w:val="24"/>
        </w:rPr>
        <w:t xml:space="preserve"> </w:t>
      </w:r>
      <w:r w:rsidRPr="00C876A7">
        <w:rPr>
          <w:rFonts w:cs="Times New Roman"/>
          <w:b/>
          <w:bCs/>
          <w:szCs w:val="24"/>
        </w:rPr>
        <w:t>"al netto" delle pagine dedicate alla intestazione, ai capi di imputazione, alla</w:t>
      </w:r>
      <w:r w:rsidR="00CB0A36" w:rsidRPr="00C876A7">
        <w:rPr>
          <w:rFonts w:cs="Times New Roman"/>
          <w:b/>
          <w:bCs/>
          <w:szCs w:val="24"/>
        </w:rPr>
        <w:t xml:space="preserve"> </w:t>
      </w:r>
      <w:r w:rsidRPr="00C876A7">
        <w:rPr>
          <w:rFonts w:cs="Times New Roman"/>
          <w:b/>
          <w:bCs/>
          <w:szCs w:val="24"/>
        </w:rPr>
        <w:t>descrizione dello svolgimento del processo e alla determinazione della pena, le</w:t>
      </w:r>
      <w:r w:rsidR="00CB0A36" w:rsidRPr="00C876A7">
        <w:rPr>
          <w:rFonts w:cs="Times New Roman"/>
          <w:b/>
          <w:bCs/>
          <w:szCs w:val="24"/>
        </w:rPr>
        <w:t xml:space="preserve"> </w:t>
      </w:r>
      <w:r w:rsidRPr="00C876A7">
        <w:rPr>
          <w:rFonts w:cs="Times New Roman"/>
          <w:b/>
          <w:bCs/>
          <w:szCs w:val="24"/>
        </w:rPr>
        <w:t>altre 15 pagine della sentenza dedicate alla verifica nel merito della fondatezza</w:t>
      </w:r>
      <w:r w:rsidR="00CB0A36" w:rsidRPr="00C876A7">
        <w:rPr>
          <w:rFonts w:cs="Times New Roman"/>
          <w:b/>
          <w:bCs/>
          <w:szCs w:val="24"/>
        </w:rPr>
        <w:t xml:space="preserve"> </w:t>
      </w:r>
      <w:r w:rsidRPr="00C876A7">
        <w:rPr>
          <w:rFonts w:cs="Times New Roman"/>
          <w:b/>
          <w:bCs/>
          <w:szCs w:val="24"/>
        </w:rPr>
        <w:t>delle accuse costituiscono la mera replica della sentenza di primo grado</w:t>
      </w:r>
      <w:r w:rsidRPr="00264CF9">
        <w:rPr>
          <w:rFonts w:cs="Times New Roman"/>
          <w:szCs w:val="24"/>
        </w:rPr>
        <w:t xml:space="preserve"> </w:t>
      </w:r>
      <w:r w:rsidRPr="00C876A7">
        <w:rPr>
          <w:rFonts w:cs="Times New Roman"/>
          <w:b/>
          <w:bCs/>
          <w:szCs w:val="24"/>
        </w:rPr>
        <w:t>(quanto</w:t>
      </w:r>
      <w:r w:rsidR="00CB0A36" w:rsidRPr="00C876A7">
        <w:rPr>
          <w:rFonts w:cs="Times New Roman"/>
          <w:b/>
          <w:bCs/>
          <w:szCs w:val="24"/>
        </w:rPr>
        <w:t xml:space="preserve"> </w:t>
      </w:r>
      <w:r w:rsidRPr="00C876A7">
        <w:rPr>
          <w:rFonts w:cs="Times New Roman"/>
          <w:b/>
          <w:bCs/>
          <w:szCs w:val="24"/>
        </w:rPr>
        <w:t>al L) e, addirittura, alla trascrizione dell'ordinanza custodiale (quanto al</w:t>
      </w:r>
      <w:r w:rsidR="00CB0A36" w:rsidRPr="00C876A7">
        <w:rPr>
          <w:rFonts w:cs="Times New Roman"/>
          <w:b/>
          <w:bCs/>
          <w:szCs w:val="24"/>
        </w:rPr>
        <w:t xml:space="preserve"> </w:t>
      </w:r>
      <w:r w:rsidRPr="00C876A7">
        <w:rPr>
          <w:rFonts w:cs="Times New Roman"/>
          <w:b/>
          <w:bCs/>
          <w:szCs w:val="24"/>
        </w:rPr>
        <w:t>M).</w:t>
      </w:r>
    </w:p>
    <w:p w14:paraId="79EC972A" w14:textId="62387C73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C876A7">
        <w:rPr>
          <w:rFonts w:cs="Times New Roman"/>
          <w:szCs w:val="24"/>
        </w:rPr>
        <w:t>3.</w:t>
      </w:r>
      <w:r w:rsidR="00CB0A36" w:rsidRPr="00C876A7">
        <w:rPr>
          <w:rFonts w:cs="Times New Roman"/>
          <w:szCs w:val="24"/>
        </w:rPr>
        <w:t xml:space="preserve"> </w:t>
      </w:r>
      <w:r w:rsidRPr="00C876A7">
        <w:rPr>
          <w:rFonts w:cs="Times New Roman"/>
          <w:szCs w:val="24"/>
        </w:rPr>
        <w:t>Soggezione dei giudici soltanto alla legge (art. 101, comma secondo,</w:t>
      </w:r>
      <w:r w:rsidR="00CB0A36" w:rsidRPr="00C876A7">
        <w:rPr>
          <w:rFonts w:cs="Times New Roman"/>
          <w:szCs w:val="24"/>
        </w:rPr>
        <w:t xml:space="preserve"> </w:t>
      </w:r>
      <w:r w:rsidRPr="00C876A7">
        <w:rPr>
          <w:rFonts w:cs="Times New Roman"/>
          <w:szCs w:val="24"/>
        </w:rPr>
        <w:t>Cost.), esercizio della funzione giurisdizionale da parte di magistrati autonomi e</w:t>
      </w:r>
      <w:r w:rsidR="00CB0A36" w:rsidRPr="00C876A7">
        <w:rPr>
          <w:rFonts w:cs="Times New Roman"/>
          <w:szCs w:val="24"/>
        </w:rPr>
        <w:t xml:space="preserve"> </w:t>
      </w:r>
      <w:r w:rsidRPr="00C876A7">
        <w:rPr>
          <w:rFonts w:cs="Times New Roman"/>
          <w:szCs w:val="24"/>
        </w:rPr>
        <w:t>indipendenti (artt. 102, 104 e 106 Cost.), attuazione della giurisdizione mediante</w:t>
      </w:r>
      <w:r w:rsidR="00CB0A36" w:rsidRPr="00C876A7">
        <w:rPr>
          <w:rFonts w:cs="Times New Roman"/>
          <w:szCs w:val="24"/>
        </w:rPr>
        <w:t xml:space="preserve"> </w:t>
      </w:r>
      <w:r w:rsidRPr="00C876A7">
        <w:rPr>
          <w:rFonts w:cs="Times New Roman"/>
          <w:szCs w:val="24"/>
        </w:rPr>
        <w:t>il giusto processo regolato per legge (art. 111, comma primo, Cost.), obbligo di</w:t>
      </w:r>
      <w:r w:rsidR="00CB0A36" w:rsidRPr="00C876A7">
        <w:rPr>
          <w:rFonts w:cs="Times New Roman"/>
          <w:szCs w:val="24"/>
        </w:rPr>
        <w:t xml:space="preserve"> </w:t>
      </w:r>
      <w:r w:rsidRPr="00C876A7">
        <w:rPr>
          <w:rFonts w:cs="Times New Roman"/>
          <w:szCs w:val="24"/>
        </w:rPr>
        <w:t>motivazione di tutti i provvedimenti giurisdizionali (art. 111, comma sesto,</w:t>
      </w:r>
      <w:r w:rsidR="00CB0A36" w:rsidRPr="00C876A7">
        <w:rPr>
          <w:rFonts w:cs="Times New Roman"/>
          <w:szCs w:val="24"/>
        </w:rPr>
        <w:t xml:space="preserve"> </w:t>
      </w:r>
      <w:r w:rsidRPr="00C876A7">
        <w:rPr>
          <w:rFonts w:cs="Times New Roman"/>
          <w:szCs w:val="24"/>
        </w:rPr>
        <w:t>Cost.), controllo esercitabile dalla Corte di cassazione su tutte le sentenze e su</w:t>
      </w:r>
      <w:r w:rsidR="00CB0A36" w:rsidRPr="00C876A7">
        <w:rPr>
          <w:rFonts w:cs="Times New Roman"/>
          <w:szCs w:val="24"/>
        </w:rPr>
        <w:t xml:space="preserve"> </w:t>
      </w:r>
      <w:r w:rsidRPr="00C876A7">
        <w:rPr>
          <w:rFonts w:cs="Times New Roman"/>
          <w:szCs w:val="24"/>
        </w:rPr>
        <w:t>tutti i provvedimenti che incidono sulla libertà personale pronunciati dagli organi</w:t>
      </w:r>
      <w:r w:rsidR="00CB0A36" w:rsidRPr="00C876A7">
        <w:rPr>
          <w:rFonts w:cs="Times New Roman"/>
          <w:szCs w:val="24"/>
        </w:rPr>
        <w:t xml:space="preserve"> </w:t>
      </w:r>
      <w:r w:rsidRPr="00C876A7">
        <w:rPr>
          <w:rFonts w:cs="Times New Roman"/>
          <w:szCs w:val="24"/>
        </w:rPr>
        <w:t>giurisdizionali (art. 111, comma settimo, Cost.), sono valori che qualificano, sul</w:t>
      </w:r>
      <w:r w:rsidR="00CB0A36" w:rsidRPr="00C876A7">
        <w:rPr>
          <w:rFonts w:cs="Times New Roman"/>
          <w:szCs w:val="24"/>
        </w:rPr>
        <w:t xml:space="preserve"> </w:t>
      </w:r>
      <w:r w:rsidRPr="00C876A7">
        <w:rPr>
          <w:rFonts w:cs="Times New Roman"/>
          <w:szCs w:val="24"/>
        </w:rPr>
        <w:t xml:space="preserve">piano processuale, il </w:t>
      </w:r>
      <w:r w:rsidRPr="00C876A7">
        <w:rPr>
          <w:rFonts w:cs="Times New Roman"/>
          <w:i/>
          <w:iCs/>
          <w:szCs w:val="24"/>
        </w:rPr>
        <w:t xml:space="preserve">"quomodo" </w:t>
      </w:r>
      <w:r w:rsidRPr="00C876A7">
        <w:rPr>
          <w:rFonts w:cs="Times New Roman"/>
          <w:szCs w:val="24"/>
        </w:rPr>
        <w:t>della giurisdizione, e che sono posti, sul piano</w:t>
      </w:r>
      <w:r w:rsidR="00CB0A36" w:rsidRPr="00C876A7">
        <w:rPr>
          <w:rFonts w:cs="Times New Roman"/>
          <w:szCs w:val="24"/>
        </w:rPr>
        <w:t xml:space="preserve"> </w:t>
      </w:r>
      <w:r w:rsidRPr="00C876A7">
        <w:rPr>
          <w:rFonts w:cs="Times New Roman"/>
          <w:szCs w:val="24"/>
        </w:rPr>
        <w:t>sostanziale, a presidio e garanzia del principio di legalità e, con specifico</w:t>
      </w:r>
      <w:r w:rsidR="00CB0A36" w:rsidRPr="00C876A7">
        <w:rPr>
          <w:rFonts w:cs="Times New Roman"/>
          <w:szCs w:val="24"/>
        </w:rPr>
        <w:t xml:space="preserve"> </w:t>
      </w:r>
      <w:r w:rsidRPr="00C876A7">
        <w:rPr>
          <w:rFonts w:cs="Times New Roman"/>
          <w:szCs w:val="24"/>
        </w:rPr>
        <w:t>riferimento alla materia penale, del principio di riserva assoluta di legge (art. 25,</w:t>
      </w:r>
      <w:r w:rsidR="00CB0A36" w:rsidRPr="00C876A7">
        <w:rPr>
          <w:rFonts w:cs="Times New Roman"/>
          <w:szCs w:val="24"/>
        </w:rPr>
        <w:t xml:space="preserve"> </w:t>
      </w:r>
      <w:r w:rsidRPr="00C876A7">
        <w:rPr>
          <w:rFonts w:cs="Times New Roman"/>
          <w:szCs w:val="24"/>
        </w:rPr>
        <w:t>comma secondo, Cost.), nonché dell'inviolabilità della libertà personale (art. 13</w:t>
      </w:r>
      <w:r w:rsidR="00CB0A36" w:rsidRPr="00C876A7">
        <w:rPr>
          <w:rFonts w:cs="Times New Roman"/>
          <w:szCs w:val="24"/>
        </w:rPr>
        <w:t xml:space="preserve"> </w:t>
      </w:r>
      <w:r w:rsidRPr="00C876A7">
        <w:rPr>
          <w:rFonts w:cs="Times New Roman"/>
          <w:szCs w:val="24"/>
        </w:rPr>
        <w:t>Cost.), del domicilio (art. 14 Cost.), della libertà e segretezza della</w:t>
      </w:r>
      <w:r w:rsidR="004072A3" w:rsidRPr="00C876A7">
        <w:rPr>
          <w:rFonts w:cs="Times New Roman"/>
          <w:szCs w:val="24"/>
        </w:rPr>
        <w:t xml:space="preserve"> </w:t>
      </w:r>
      <w:r w:rsidRPr="00C876A7">
        <w:rPr>
          <w:rFonts w:cs="Times New Roman"/>
          <w:szCs w:val="24"/>
        </w:rPr>
        <w:t xml:space="preserve">corrispondenza (art. 16 Cost.), del diritto di difesa (art. 24 Cost.). </w:t>
      </w:r>
      <w:r w:rsidRPr="0030005D">
        <w:rPr>
          <w:rFonts w:cs="Times New Roman"/>
          <w:b/>
          <w:bCs/>
          <w:szCs w:val="24"/>
        </w:rPr>
        <w:t>La</w:t>
      </w:r>
      <w:r w:rsidR="00752EDC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motivazione assolve all'onere di chiarire se, e come, la regola generale e astratta</w:t>
      </w:r>
      <w:r w:rsidR="00752EDC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(la legge, in senso lato) sia stata esattamente applicata al caso concreto</w:t>
      </w:r>
      <w:r w:rsidRPr="00264CF9">
        <w:rPr>
          <w:rFonts w:cs="Times New Roman"/>
          <w:szCs w:val="24"/>
        </w:rPr>
        <w:t xml:space="preserve"> (in</w:t>
      </w:r>
      <w:r w:rsidR="00752EDC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questo senso, Sez. U, n. 919 del 29/11/2003, dep. 2004,</w:t>
      </w:r>
      <w:r w:rsidR="00264CF9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in motivazione)</w:t>
      </w:r>
      <w:r w:rsidR="00752EDC">
        <w:rPr>
          <w:rFonts w:cs="Times New Roman"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e di evitare, attraverso il controllo di merito e, infine, di legittimità, che essa non</w:t>
      </w:r>
      <w:r w:rsidR="00752EDC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affondi le sue radici in una volontà diversa da quella della legge cui il giudice è</w:t>
      </w:r>
      <w:r w:rsidR="00752EDC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soggetto; essa assolve all'onere di spiegare perché il diritto inviolabile ha potuto</w:t>
      </w:r>
      <w:r w:rsidR="00752EDC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esser compresso, se ed in che modo sia stato rispettato il diritto di difesa, se ed</w:t>
      </w:r>
      <w:r w:rsidR="00752EDC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in che modo l'esercizio di tale diritto abbia potuto contribuire a confezionare la</w:t>
      </w:r>
      <w:r w:rsidR="00752EDC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regola del caso concreto</w:t>
      </w:r>
      <w:r w:rsidRPr="00264CF9">
        <w:rPr>
          <w:rFonts w:cs="Times New Roman"/>
          <w:szCs w:val="24"/>
        </w:rPr>
        <w:t>.</w:t>
      </w:r>
    </w:p>
    <w:p w14:paraId="519A4710" w14:textId="161C3234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752EDC">
        <w:rPr>
          <w:rFonts w:cs="Times New Roman"/>
          <w:b/>
          <w:bCs/>
          <w:szCs w:val="24"/>
        </w:rPr>
        <w:t>3.1.</w:t>
      </w:r>
      <w:r w:rsidR="00752EDC">
        <w:rPr>
          <w:rFonts w:cs="Times New Roman"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Ne discende che la finta motivazione si risolve nella abdicazione del</w:t>
      </w:r>
      <w:r w:rsidR="00752EDC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giudice al suo dovere principale, é la negazione della sua funzione di garanzia,</w:t>
      </w:r>
      <w:r w:rsidR="00752EDC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connaturale alla sua indispensabile terzietà,  una porta chiusa frapposta a ogni</w:t>
      </w:r>
      <w:r w:rsidR="00752EDC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tipo di controllo, che non consente di ripercorrere la via che collega la regola</w:t>
      </w:r>
      <w:r w:rsidR="00752EDC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astratta al fatto esaminato</w:t>
      </w:r>
      <w:r w:rsidRPr="00264CF9">
        <w:rPr>
          <w:rFonts w:cs="Times New Roman"/>
          <w:szCs w:val="24"/>
        </w:rPr>
        <w:t>.</w:t>
      </w:r>
    </w:p>
    <w:p w14:paraId="4764BC73" w14:textId="75960BAB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752EDC">
        <w:rPr>
          <w:rFonts w:cs="Times New Roman"/>
          <w:b/>
          <w:bCs/>
          <w:szCs w:val="24"/>
        </w:rPr>
        <w:t>3.2.</w:t>
      </w:r>
      <w:r w:rsidR="00752EDC">
        <w:rPr>
          <w:rFonts w:cs="Times New Roman"/>
          <w:szCs w:val="24"/>
        </w:rPr>
        <w:t xml:space="preserve"> O</w:t>
      </w:r>
      <w:r w:rsidRPr="00264CF9">
        <w:rPr>
          <w:rFonts w:cs="Times New Roman"/>
          <w:szCs w:val="24"/>
        </w:rPr>
        <w:t xml:space="preserve">ra, </w:t>
      </w:r>
      <w:r w:rsidRPr="0030005D">
        <w:rPr>
          <w:rFonts w:cs="Times New Roman"/>
          <w:b/>
          <w:bCs/>
          <w:szCs w:val="24"/>
        </w:rPr>
        <w:t>l'uso di strumenti informatici agevola certamente la redazione dei</w:t>
      </w:r>
      <w:r w:rsidR="00752EDC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 xml:space="preserve">provvedimenti giudiziari ma aumenta il rischio che il giudice attinga </w:t>
      </w:r>
      <w:r w:rsidRPr="0030005D">
        <w:rPr>
          <w:rFonts w:cs="Times New Roman"/>
          <w:b/>
          <w:bCs/>
          <w:i/>
          <w:iCs/>
          <w:szCs w:val="24"/>
        </w:rPr>
        <w:t>"aliunde"</w:t>
      </w:r>
      <w:r w:rsidR="00264CF9" w:rsidRPr="0030005D">
        <w:rPr>
          <w:rFonts w:cs="Times New Roman"/>
          <w:b/>
          <w:bCs/>
          <w:i/>
          <w:i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gli</w:t>
      </w:r>
      <w:r w:rsidR="00752EDC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argomenti del suo decidere, abdicando al dovere di apportare il suo ineliminabile</w:t>
      </w:r>
      <w:r w:rsidR="00752EDC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ed insostituibile momento valutativo e facendo venir meno l'in sé del suo essere</w:t>
      </w:r>
      <w:r w:rsidR="00752EDC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terzo ed imparziale</w:t>
      </w:r>
      <w:r w:rsidRPr="00264CF9">
        <w:rPr>
          <w:rFonts w:cs="Times New Roman"/>
          <w:szCs w:val="24"/>
        </w:rPr>
        <w:t>. La motivazione "per relationem" (o la tecnica del "copia</w:t>
      </w:r>
      <w:r w:rsidR="00752EDC">
        <w:rPr>
          <w:rFonts w:cs="Times New Roman"/>
          <w:szCs w:val="24"/>
        </w:rPr>
        <w:t>-</w:t>
      </w:r>
      <w:r w:rsidRPr="00264CF9">
        <w:rPr>
          <w:rFonts w:cs="Times New Roman"/>
          <w:szCs w:val="24"/>
        </w:rPr>
        <w:t>incolla")</w:t>
      </w:r>
      <w:r w:rsidR="00752EDC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è indiscutibilmente assai utile nella ricostruzione del fatto, nel richiamo</w:t>
      </w:r>
      <w:r w:rsidR="00752EDC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al contenuto di prove complesse (testimonianze, interrogatori, confronti,</w:t>
      </w:r>
      <w:r w:rsidR="00752EDC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intercettazioni); la tecnica del "copia-incolla", in particolare, ha l'indubbio pregio</w:t>
      </w:r>
      <w:r w:rsidR="00752EDC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 xml:space="preserve">di rendere particolarmente incisivo e diretto il </w:t>
      </w:r>
      <w:r w:rsidRPr="00264CF9">
        <w:rPr>
          <w:rFonts w:cs="Times New Roman"/>
          <w:szCs w:val="24"/>
        </w:rPr>
        <w:lastRenderedPageBreak/>
        <w:t>rapporto tra la fonte di prova e il</w:t>
      </w:r>
      <w:r w:rsidR="00752EDC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fatto storico, restituendo al lettore squarci vividi di realtà (le parole usate in una</w:t>
      </w:r>
      <w:r w:rsidR="00752EDC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conversazione intercettata, le pause, le incertezze o le certezze di un testimone,</w:t>
      </w:r>
      <w:r w:rsidR="00752EDC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il pathos di un confronto, di un contro-esame). Tutto ciò contribuisce a dare</w:t>
      </w:r>
      <w:r w:rsidR="00752EDC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ingresso alla realtà vera sul palcoscenico processuale e a fissarla, senza filtri né</w:t>
      </w:r>
      <w:r w:rsidR="00752EDC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mediazioni, in un provvedimento con cui viene scritta la storia del fatto oggetto</w:t>
      </w:r>
      <w:r w:rsidR="00752EDC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 xml:space="preserve">della regiudicanda. </w:t>
      </w:r>
      <w:r w:rsidR="00752EDC">
        <w:rPr>
          <w:rFonts w:cs="Times New Roman"/>
          <w:szCs w:val="24"/>
        </w:rPr>
        <w:t>È</w:t>
      </w:r>
      <w:r w:rsidRPr="00264CF9">
        <w:rPr>
          <w:rFonts w:cs="Times New Roman"/>
          <w:szCs w:val="24"/>
        </w:rPr>
        <w:t>, però, una tecnica assai utile all'analisi (indicazione delle</w:t>
      </w:r>
      <w:r w:rsidR="00752EDC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prove), molto meno alla sintesi (la ricostruzione del fatto e la sua valutazione).</w:t>
      </w:r>
    </w:p>
    <w:p w14:paraId="4D9873A7" w14:textId="18F8AF1B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752EDC">
        <w:rPr>
          <w:rFonts w:cs="Times New Roman"/>
          <w:b/>
          <w:bCs/>
          <w:szCs w:val="24"/>
        </w:rPr>
        <w:t>3.3.</w:t>
      </w:r>
      <w:r w:rsidR="00752EDC">
        <w:rPr>
          <w:rFonts w:cs="Times New Roman"/>
          <w:szCs w:val="24"/>
        </w:rPr>
        <w:t xml:space="preserve"> I</w:t>
      </w:r>
      <w:r w:rsidRPr="00264CF9">
        <w:rPr>
          <w:rFonts w:cs="Times New Roman"/>
          <w:szCs w:val="24"/>
        </w:rPr>
        <w:t>1 legislatore ha inteso ribadire espressamente l'obbligo per il giudice</w:t>
      </w:r>
      <w:r w:rsidR="00752EDC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 xml:space="preserve">(giurisprudenzialmente già affermato da Sez. U, n. 17 del 21/06/2000, </w:t>
      </w:r>
      <w:r w:rsidRPr="00264CF9">
        <w:rPr>
          <w:rFonts w:cs="Times New Roman"/>
          <w:i/>
          <w:iCs/>
          <w:szCs w:val="24"/>
        </w:rPr>
        <w:t xml:space="preserve">infra) </w:t>
      </w:r>
      <w:r w:rsidRPr="00264CF9">
        <w:rPr>
          <w:rFonts w:cs="Times New Roman"/>
          <w:szCs w:val="24"/>
        </w:rPr>
        <w:t>di procedere alla autonoma valutazione delle ragioni che</w:t>
      </w:r>
      <w:r w:rsidR="00752EDC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legittimano l'adozione di una misura cautelare personale (art. 292, cod. pro</w:t>
      </w:r>
      <w:r w:rsidR="00752EDC">
        <w:rPr>
          <w:rFonts w:cs="Times New Roman"/>
          <w:szCs w:val="24"/>
        </w:rPr>
        <w:t>c</w:t>
      </w:r>
      <w:r w:rsidRPr="00264CF9">
        <w:rPr>
          <w:rFonts w:cs="Times New Roman"/>
          <w:szCs w:val="24"/>
        </w:rPr>
        <w:t>.</w:t>
      </w:r>
      <w:r w:rsidR="00752EDC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pen., come modificato dall'art. 8, legge 16 aprile 2015, n. 47), codificando un</w:t>
      </w:r>
      <w:r w:rsidR="00752EDC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principio che, in quanto connaturale alla terzietà del giudice, ha portata generale</w:t>
      </w:r>
      <w:r w:rsidR="00752EDC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 xml:space="preserve">e non limitata ai soli provvedimenti </w:t>
      </w:r>
      <w:r w:rsidRPr="00264CF9">
        <w:rPr>
          <w:rFonts w:cs="Times New Roman"/>
          <w:i/>
          <w:iCs/>
          <w:szCs w:val="24"/>
        </w:rPr>
        <w:t xml:space="preserve">"de libertate" </w:t>
      </w:r>
      <w:r w:rsidRPr="00264CF9">
        <w:rPr>
          <w:rFonts w:cs="Times New Roman"/>
          <w:szCs w:val="24"/>
        </w:rPr>
        <w:t>(si veda, per i provvedimenti</w:t>
      </w:r>
      <w:r w:rsidR="00752EDC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del questore impositivi del divieto di accesso al luogo di svolgimento delle</w:t>
      </w:r>
    </w:p>
    <w:p w14:paraId="417302BA" w14:textId="2FCCD9B1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264CF9">
        <w:rPr>
          <w:rFonts w:cs="Times New Roman"/>
          <w:szCs w:val="24"/>
        </w:rPr>
        <w:t>manifestazioni sportive, Sez. 3, n. 3645 del 09/10/2013, dep. 2014, Rv. 259178</w:t>
      </w:r>
      <w:r w:rsidR="00752EDC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- 01, secondo cui è legittima la motivazione "per relationem" dell'ordinanza di</w:t>
      </w:r>
      <w:r w:rsidR="00752EDC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convalida del provvedimento assunto dal questore a norma dell'art. 6 della legge</w:t>
      </w:r>
      <w:r w:rsidR="00752EDC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n. 401 del 1989, con il quale si vieta all'interessato l'accesso a luoghi in cui si</w:t>
      </w:r>
      <w:r w:rsidR="00752EDC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svolgono manifestazioni sportive, allorché in essa si effettui il richiamo all'atto</w:t>
      </w:r>
      <w:r w:rsidR="00752EDC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impugnato ed alla richiesta del pubblico ministero, con indicazione della positiva</w:t>
      </w:r>
      <w:r w:rsidR="00752EDC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revisione del percorso logico che ha indotto ad emettere il provvedimento</w:t>
      </w:r>
      <w:r w:rsidR="00752EDC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convalidato).</w:t>
      </w:r>
    </w:p>
    <w:p w14:paraId="2DFA8EEA" w14:textId="3C18EFFC" w:rsidR="00DC5EFE" w:rsidRPr="00264CF9" w:rsidRDefault="00DC5EFE" w:rsidP="0030005D">
      <w:pPr>
        <w:autoSpaceDE w:val="0"/>
        <w:autoSpaceDN w:val="0"/>
        <w:adjustRightInd w:val="0"/>
        <w:rPr>
          <w:rFonts w:cs="Times New Roman"/>
          <w:szCs w:val="24"/>
        </w:rPr>
      </w:pPr>
      <w:r w:rsidRPr="00752EDC">
        <w:rPr>
          <w:rFonts w:cs="Times New Roman"/>
          <w:b/>
          <w:bCs/>
          <w:szCs w:val="24"/>
        </w:rPr>
        <w:t>3.4.</w:t>
      </w:r>
      <w:r w:rsidR="00752EDC">
        <w:rPr>
          <w:rFonts w:cs="Times New Roman"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L'obbligo di motivazione dei provvedimenti giudiziari può dunque</w:t>
      </w:r>
      <w:r w:rsidR="00752EDC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ritenersi assolto "per relationem", mediante il mero rinvio ad altri atti del</w:t>
      </w:r>
      <w:r w:rsidR="007B00EF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procedimento, quando questi abbiano un contenuto essenzialmente descrittivo o</w:t>
      </w:r>
      <w:r w:rsidR="007B00EF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ricostruttivo della realtà oggetto di condivisione, ma non anche quando si faccia</w:t>
      </w:r>
      <w:r w:rsidR="007B00EF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rinvio a documenti complessi e contenenti aspetti valutativi, soprattutto se la</w:t>
      </w:r>
      <w:r w:rsid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decisione riformi o modifichi precedenti decisioni assunte dallo stesso organo o</w:t>
      </w:r>
      <w:r w:rsidR="007B00EF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da altro organo giudiziario</w:t>
      </w:r>
      <w:r w:rsidRPr="00264CF9">
        <w:rPr>
          <w:rFonts w:cs="Times New Roman"/>
          <w:szCs w:val="24"/>
        </w:rPr>
        <w:t xml:space="preserve"> (così Sez. 6, n. 46080 del 29/10/2015, Rv. 265338 -</w:t>
      </w:r>
      <w:r w:rsidR="007B00E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01, che ha annullato l'ordinanza del tribunale della libertà che, in accoglimento</w:t>
      </w:r>
      <w:r w:rsidR="007B00E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dell'appello proposto dal pubblico ministero, aveva ritenuto sussistenti i gravi</w:t>
      </w:r>
      <w:r w:rsidR="007B00E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indizi di colpevolezza facendo rinvio al contenuto dello stesso atto di appello,</w:t>
      </w:r>
      <w:r w:rsidR="007B00E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limitandosi a definire "inequivocabile" il significato contenuto delle conversazioni</w:t>
      </w:r>
      <w:r w:rsidR="007B00E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intercettate; nello stesso senso, Sez. 3, n. 12464 del 04/03/2010, Rv. 246465 -</w:t>
      </w:r>
      <w:r w:rsidR="007B00E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01).</w:t>
      </w:r>
    </w:p>
    <w:p w14:paraId="3A639D1C" w14:textId="269DAEA9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7B00EF">
        <w:rPr>
          <w:rFonts w:cs="Times New Roman"/>
          <w:b/>
          <w:bCs/>
          <w:szCs w:val="24"/>
        </w:rPr>
        <w:t>3.5.</w:t>
      </w:r>
      <w:r w:rsidR="007B00E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 xml:space="preserve">Secondo un ormai consolidato indirizzo giurisprudenziale, </w:t>
      </w:r>
      <w:r w:rsidRPr="0030005D">
        <w:rPr>
          <w:rFonts w:cs="Times New Roman"/>
          <w:b/>
          <w:bCs/>
          <w:szCs w:val="24"/>
        </w:rPr>
        <w:t>la motivazione</w:t>
      </w:r>
      <w:r w:rsidR="007B00EF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"per relationem" di un provvedimento giudiziale è da considerare legittima</w:t>
      </w:r>
      <w:r w:rsidR="007B00EF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quando: 1)- faccia riferimento, recettizio o di semplice rinvio, a un legittimo atto</w:t>
      </w:r>
      <w:r w:rsidR="007B00EF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del procedimento, la cui motivazione risulti congrua rispetto all'esigenza di</w:t>
      </w:r>
      <w:r w:rsidR="007B00EF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giustificazione propria del provvedimento di destinazione; 2)- fornisca la</w:t>
      </w:r>
      <w:r w:rsidR="007B00EF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dimostrazione che il giudice ha preso cognizione del contenuto sostanziale delle</w:t>
      </w:r>
      <w:r w:rsidR="007B00EF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ragioni del provvedimento di riferimento e le abbia meditate e ritenute coerenti</w:t>
      </w:r>
      <w:r w:rsidR="007B00EF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con la sua decisione; 3)- l'atto di riferimento, quando non venga allegato o</w:t>
      </w:r>
      <w:r w:rsidR="007B00EF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trascritto nel provvedimento da motivare, sia conosciuto dall'interessato o</w:t>
      </w:r>
      <w:r w:rsidR="007B00EF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almeno ostensibile, quanto meno al momento in cui si renda attuale l'esercizio</w:t>
      </w:r>
      <w:r w:rsidR="007B00EF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della facoltà di valutazione, di critica ed, eventualmente, di gravame e,</w:t>
      </w:r>
      <w:r w:rsidR="007B00EF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conseguentemente, di controllo dell'organo della valutazione o dell'impugnazione</w:t>
      </w:r>
      <w:r w:rsidR="007B00EF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(Sez. U, n. 17 del 2000, Primavera, Rv. 216664 - 01).</w:t>
      </w:r>
    </w:p>
    <w:p w14:paraId="2F20CD1F" w14:textId="287C5349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7B00EF">
        <w:rPr>
          <w:rFonts w:cs="Times New Roman"/>
          <w:b/>
          <w:bCs/>
          <w:szCs w:val="24"/>
        </w:rPr>
        <w:t>3.6.</w:t>
      </w:r>
      <w:r w:rsidR="007B00EF">
        <w:rPr>
          <w:rFonts w:cs="Times New Roman"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Costituisce inoltre principio coerente con la funzione dell'appello e la</w:t>
      </w:r>
      <w:r w:rsidR="00797B1A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necessaria specificità dei motivi di impugnazione, quello per il quale è possibile</w:t>
      </w:r>
      <w:r w:rsidR="00797B1A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motivare la sentenza di secondo grado "per relationem" facendo riferimento alla</w:t>
      </w:r>
      <w:r w:rsidR="00797B1A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pronuncia di primo grado, nel caso in cui le censure formulate contro</w:t>
      </w:r>
      <w:r w:rsidR="00797B1A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quest'ultima non contengano elementi ed argomenti diversi da quelli già</w:t>
      </w:r>
      <w:r w:rsidR="00797B1A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esaminati e disattesi</w:t>
      </w:r>
      <w:r w:rsidRPr="00264CF9">
        <w:rPr>
          <w:rFonts w:cs="Times New Roman"/>
          <w:szCs w:val="24"/>
        </w:rPr>
        <w:t>; il giudice di appello non è infatti tenuto a riesaminare</w:t>
      </w:r>
      <w:r w:rsidR="00797B1A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dettagliatamente questioni riferite solo sommariamente dall'appellante nei motivi</w:t>
      </w:r>
      <w:r w:rsidR="00797B1A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di gravame, questioni sulle quali si sia già soffermato il primo giudice con</w:t>
      </w:r>
      <w:r w:rsidR="00797B1A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argomentazioni (non specificamente e criticamente censurate dall'appellante)</w:t>
      </w:r>
      <w:r w:rsidR="00797B1A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ritenute esatte ed esenti da vizi logici dal giudice di appello (Sez. 6, n. 34532 del</w:t>
      </w:r>
      <w:r w:rsidR="00797B1A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22/06/2021, Rv. 281935 - 01; Sez. 5, n. 7572 del 22/04/1999, Rv. 213643 - 01;</w:t>
      </w:r>
      <w:r w:rsidR="00797B1A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Sez. 2, n. 30838 del 19/03/2013, Rv. 257056 - 01; Sez. 2, n. 19619 del</w:t>
      </w:r>
      <w:r w:rsidR="00797B1A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 xml:space="preserve">13/02/2014 che ha ulteriormente precisato che </w:t>
      </w:r>
      <w:r w:rsidRPr="0030005D">
        <w:rPr>
          <w:rFonts w:cs="Times New Roman"/>
          <w:b/>
          <w:bCs/>
          <w:szCs w:val="24"/>
        </w:rPr>
        <w:t>è legittima la motivazione "per</w:t>
      </w:r>
      <w:r w:rsidR="00797B1A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relationem" della sentenza di secondo grado, che recepisce in modo critico e</w:t>
      </w:r>
      <w:r w:rsidR="00797B1A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valutativo quella impugnata, limitandosi a ripercorrere e ad approfondire alcuni</w:t>
      </w:r>
      <w:r w:rsidR="00797B1A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lastRenderedPageBreak/>
        <w:t>aspetti del complesso probatorio oggetto di contestazione da parte della difesa,</w:t>
      </w:r>
      <w:r w:rsidR="00797B1A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ed omettendo di esaminare quelle doglianze dell'atto di appello, che avevano già</w:t>
      </w:r>
      <w:r w:rsidR="00797B1A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trovato risposta esaustiva nella sentenza del primo giudice).</w:t>
      </w:r>
    </w:p>
    <w:p w14:paraId="466E5134" w14:textId="6A37C799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797B1A">
        <w:rPr>
          <w:rFonts w:cs="Times New Roman"/>
          <w:b/>
          <w:bCs/>
          <w:szCs w:val="24"/>
        </w:rPr>
        <w:t>3.7.</w:t>
      </w:r>
      <w:r w:rsidR="00797B1A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 xml:space="preserve">Coerentemente, </w:t>
      </w:r>
      <w:r w:rsidRPr="0030005D">
        <w:rPr>
          <w:rFonts w:cs="Times New Roman"/>
          <w:b/>
          <w:bCs/>
          <w:szCs w:val="24"/>
        </w:rPr>
        <w:t>è stata ritenuta illegittima la motivazione del giudice di</w:t>
      </w:r>
      <w:r w:rsidR="00797B1A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appello che, come nel caso in esame, si fondi sulla pedissequa riproduzione –</w:t>
      </w:r>
      <w:r w:rsidR="00797B1A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realizzata mediante l'applicazione informatica del "copia-incolla" - di intere</w:t>
      </w:r>
      <w:r w:rsidR="00797B1A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pagine dell'ordinanza custodiale e che trascuri pressoché interamente le</w:t>
      </w:r>
      <w:r w:rsid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motivazioni della sentenza di primo grado, risolvendosi in abnorme</w:t>
      </w:r>
      <w:r w:rsidR="00797B1A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"contemplatio" dell'attività di indagine preliminare e tradendo la sua precipua</w:t>
      </w:r>
      <w:r w:rsidR="00797B1A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fisionomia di "revisio prioris istantiae", pur se nel circoscritto ambito del</w:t>
      </w:r>
      <w:r w:rsidR="00797B1A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"devolutum"; d'altro canto, detto inusuale sistema motivazionale non è</w:t>
      </w:r>
      <w:r w:rsidR="00797B1A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nemmeno riconducibile al paradigma della motivazione "per relationem",</w:t>
      </w:r>
      <w:r w:rsidR="00797B1A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considerato che in nessun caso la motivazione del provvedimento genetico della</w:t>
      </w:r>
      <w:r w:rsidR="00797B1A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custodia cautelare può ritenersi congrua rispetto alle esigenze di giustificazione</w:t>
      </w:r>
      <w:r w:rsidR="00797B1A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di una sentenza di appello</w:t>
      </w:r>
      <w:r w:rsidRPr="00264CF9">
        <w:rPr>
          <w:rFonts w:cs="Times New Roman"/>
          <w:szCs w:val="24"/>
        </w:rPr>
        <w:t xml:space="preserve"> (Sez. 5, n. 8343 del 24/10/2012, dep. 2013, Rv.</w:t>
      </w:r>
      <w:r w:rsidR="00797B1A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254651 - 01).</w:t>
      </w:r>
    </w:p>
    <w:p w14:paraId="09BFEB9B" w14:textId="016879DB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797B1A">
        <w:rPr>
          <w:rFonts w:cs="Times New Roman"/>
          <w:b/>
          <w:bCs/>
          <w:szCs w:val="24"/>
        </w:rPr>
        <w:t>3.8.</w:t>
      </w:r>
      <w:r w:rsidR="00797B1A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Sulla premessa che è nullo per difetto di motivazione il provvedimento</w:t>
      </w:r>
      <w:r w:rsidR="00797B1A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del giudice che riproduca alla lettera ampi stralci della parte motiva di altra</w:t>
      </w:r>
      <w:r w:rsidR="00797B1A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pronuncia, a meno che detta tecnica di redazione manifesti una autonoma</w:t>
      </w:r>
      <w:r w:rsidR="00797B1A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rielaborazione da parte del decidente e dia adeguata risposta alle doglianze</w:t>
      </w:r>
      <w:r w:rsidR="00797B1A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proposte dal ricorrente, è stata riconosciuta la nullità dell'ordinanza del giudice</w:t>
      </w:r>
      <w:r w:rsidR="00797B1A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del riesame che aveva confermato la decisione del gip limitandosi a riprodurre,</w:t>
      </w:r>
      <w:r w:rsidR="00797B1A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attraverso la tecnica informatica del copia - incolla, circa venti pagine della</w:t>
      </w:r>
      <w:r w:rsidR="00797B1A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motivazione impugnata (Sez. 4, n. 7031 del 05/02/2013, Rv. 254937 - 01), o</w:t>
      </w:r>
      <w:r w:rsidR="00797B1A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quella con la quale il tribunale dell'appello cautelare rigetti l'istanza di revoca</w:t>
      </w:r>
      <w:r w:rsidR="00797B1A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della misura cautelare dell'obbligo di dimora richiamando - con la tecnica del</w:t>
      </w:r>
      <w:r w:rsidR="00797B1A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copia-incolla informatico - argomentazioni e valutazioni contenute in decisioni</w:t>
      </w:r>
      <w:r w:rsidR="00797B1A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conclusive di precedenti procedure "de libertate", ritenendo apoditticamente gli</w:t>
      </w:r>
      <w:r w:rsidR="00797B1A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argomenti difensivi inidonei ad inficiare il quadro cautelare già valutato e</w:t>
      </w:r>
      <w:r w:rsidR="00797B1A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omettendo di valutare e dar conto, con congrua motivazione, di fatti</w:t>
      </w:r>
      <w:r w:rsidR="00935FF0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sopravvenuti e, pertanto, nuovi indicati dalla difesa, quali la revoca di analoga</w:t>
      </w:r>
      <w:r w:rsidR="00935FF0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misura nei confronti di altri coindagati unitamente all'ulteriore decorso del</w:t>
      </w:r>
      <w:r w:rsidR="00935FF0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tempo, tali da rilevare in sede di attualità delle esigenze cautelari (Sez. 5, n.</w:t>
      </w:r>
    </w:p>
    <w:p w14:paraId="22BE4F2F" w14:textId="77777777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264CF9">
        <w:rPr>
          <w:rFonts w:cs="Times New Roman"/>
          <w:szCs w:val="24"/>
        </w:rPr>
        <w:t>2926 del 13/12/2013, dep. 2014, Rv. 257941 - 01).</w:t>
      </w:r>
    </w:p>
    <w:p w14:paraId="251D2D06" w14:textId="0F748669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935FF0">
        <w:rPr>
          <w:rFonts w:cs="Times New Roman"/>
          <w:b/>
          <w:bCs/>
          <w:szCs w:val="24"/>
        </w:rPr>
        <w:t>3.9.</w:t>
      </w:r>
      <w:r w:rsidR="00935FF0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Altrettanto coerentemente con le premesse, è stato dichiarato legittimo</w:t>
      </w:r>
      <w:r w:rsidR="00935FF0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il decreto del giudice che, richiamando per "relationem" la richiesta del P.M. con</w:t>
      </w:r>
      <w:r w:rsidR="00935FF0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riferimento alla ricostruzione dei fatti, contenga, sia pure in forma sintetica,</w:t>
      </w:r>
      <w:r w:rsidR="00935FF0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un'autonoma e personalizzata valutazione delle posizioni di ciascun imputato con</w:t>
      </w:r>
      <w:r w:rsidR="00935FF0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riferimento ad ogni fattispecie delittuosa contestata (Sez. 2, n. 8951</w:t>
      </w:r>
      <w:r w:rsidR="00935FF0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dell'11/11/2015, dep. 2016, Rv. 265833 - 01).</w:t>
      </w:r>
    </w:p>
    <w:p w14:paraId="2D17964E" w14:textId="6908D7F7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935FF0">
        <w:rPr>
          <w:rFonts w:cs="Times New Roman"/>
          <w:b/>
          <w:bCs/>
          <w:szCs w:val="24"/>
        </w:rPr>
        <w:t>4.</w:t>
      </w:r>
      <w:r w:rsidR="00935FF0">
        <w:rPr>
          <w:rFonts w:cs="Times New Roman"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Nel caso di specie, come anticipato, la sentenza impugnata ha</w:t>
      </w:r>
      <w:r w:rsidR="00935FF0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letteralmente copiato intere parti dell'ordinanza cautelare emessa nei confronti</w:t>
      </w:r>
      <w:r w:rsidR="00935FF0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del M e, con riferimento alla posizione del G, le pagine dedicate dal</w:t>
      </w:r>
      <w:r w:rsidR="00935FF0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primo Giudice alla posizione di questi, senza dar prova di aver effettuato una</w:t>
      </w:r>
      <w:r w:rsidR="00935FF0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autonoma, effettiva e specifica disamina delle questioni devolute dagli imputati</w:t>
      </w:r>
      <w:r w:rsidR="00935FF0" w:rsidRPr="0030005D">
        <w:rPr>
          <w:rFonts w:cs="Times New Roman"/>
          <w:b/>
          <w:bCs/>
          <w:szCs w:val="24"/>
        </w:rPr>
        <w:t xml:space="preserve"> </w:t>
      </w:r>
      <w:r w:rsidRPr="0030005D">
        <w:rPr>
          <w:rFonts w:cs="Times New Roman"/>
          <w:b/>
          <w:bCs/>
          <w:szCs w:val="24"/>
        </w:rPr>
        <w:t>con gli appelli avverso la sentenza di primo grado.</w:t>
      </w:r>
    </w:p>
    <w:p w14:paraId="415BB7A6" w14:textId="7B69F6C5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264CF9">
        <w:rPr>
          <w:rFonts w:cs="Times New Roman"/>
          <w:szCs w:val="24"/>
        </w:rPr>
        <w:t>La fondatezza del rilievo, che riguarda l'affermazione stessa della penale</w:t>
      </w:r>
      <w:r w:rsidR="00935FF0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responsabilità degli imputati, è tale da rendere superfluo l'esame degli altri</w:t>
      </w:r>
      <w:r w:rsidR="00935FF0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motivi dei singoli ricorsi, non senza rilevare, però, che il PG non può lamentare</w:t>
      </w:r>
      <w:r w:rsidR="00935FF0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l'omesso esame di questioni che non sono state oggetto di specifica</w:t>
      </w:r>
    </w:p>
    <w:p w14:paraId="76A13A89" w14:textId="77777777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264CF9">
        <w:rPr>
          <w:rFonts w:cs="Times New Roman"/>
          <w:szCs w:val="24"/>
        </w:rPr>
        <w:t>impugnazione da parte del PM avverso la sentenza di primo grado.</w:t>
      </w:r>
    </w:p>
    <w:p w14:paraId="224F94CE" w14:textId="77777777" w:rsidR="00DC5EFE" w:rsidRPr="00264CF9" w:rsidRDefault="00DC5EFE" w:rsidP="00935FF0">
      <w:pPr>
        <w:autoSpaceDE w:val="0"/>
        <w:autoSpaceDN w:val="0"/>
        <w:adjustRightInd w:val="0"/>
        <w:jc w:val="center"/>
        <w:rPr>
          <w:rFonts w:cs="Times New Roman"/>
          <w:b/>
          <w:bCs/>
          <w:szCs w:val="24"/>
        </w:rPr>
      </w:pPr>
      <w:r w:rsidRPr="00264CF9">
        <w:rPr>
          <w:rFonts w:cs="Times New Roman"/>
          <w:b/>
          <w:bCs/>
          <w:szCs w:val="24"/>
        </w:rPr>
        <w:t>P.Q.M.</w:t>
      </w:r>
    </w:p>
    <w:p w14:paraId="0FD37BAB" w14:textId="7533426A" w:rsidR="00DC5EFE" w:rsidRPr="00264CF9" w:rsidRDefault="00DC5EFE" w:rsidP="00264CF9">
      <w:pPr>
        <w:autoSpaceDE w:val="0"/>
        <w:autoSpaceDN w:val="0"/>
        <w:adjustRightInd w:val="0"/>
        <w:rPr>
          <w:rFonts w:cs="Times New Roman"/>
          <w:szCs w:val="24"/>
        </w:rPr>
      </w:pPr>
      <w:r w:rsidRPr="00264CF9">
        <w:rPr>
          <w:rFonts w:cs="Times New Roman"/>
          <w:szCs w:val="24"/>
        </w:rPr>
        <w:t>Annulla la sentenza impugnata con rinvio, per nuovo giudizio, ad altra</w:t>
      </w:r>
      <w:r w:rsidR="00935FF0">
        <w:rPr>
          <w:rFonts w:cs="Times New Roman"/>
          <w:szCs w:val="24"/>
        </w:rPr>
        <w:t xml:space="preserve"> </w:t>
      </w:r>
      <w:r w:rsidRPr="00264CF9">
        <w:rPr>
          <w:rFonts w:cs="Times New Roman"/>
          <w:szCs w:val="24"/>
        </w:rPr>
        <w:t>sezione della Corte di appello di Milano.</w:t>
      </w:r>
    </w:p>
    <w:p w14:paraId="2B901AD4" w14:textId="7B22C5ED" w:rsidR="00DC5EFE" w:rsidRPr="00264CF9" w:rsidRDefault="00DC5EFE" w:rsidP="00264CF9">
      <w:pPr>
        <w:rPr>
          <w:rFonts w:cs="Times New Roman"/>
          <w:szCs w:val="24"/>
        </w:rPr>
      </w:pPr>
      <w:r w:rsidRPr="00264CF9">
        <w:rPr>
          <w:rFonts w:cs="Times New Roman"/>
          <w:szCs w:val="24"/>
        </w:rPr>
        <w:t>Così deciso in Roma, 1'8/02/2022.</w:t>
      </w:r>
    </w:p>
    <w:sectPr w:rsidR="00DC5EFE" w:rsidRPr="00264CF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85414D"/>
    <w:multiLevelType w:val="hybridMultilevel"/>
    <w:tmpl w:val="5D285C06"/>
    <w:lvl w:ilvl="0" w:tplc="623401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4976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EFE"/>
    <w:rsid w:val="000572CB"/>
    <w:rsid w:val="00113060"/>
    <w:rsid w:val="00264CF9"/>
    <w:rsid w:val="0030005D"/>
    <w:rsid w:val="0032514B"/>
    <w:rsid w:val="00357ABF"/>
    <w:rsid w:val="003B56AC"/>
    <w:rsid w:val="004072A3"/>
    <w:rsid w:val="00752EDC"/>
    <w:rsid w:val="00797B1A"/>
    <w:rsid w:val="007B00EF"/>
    <w:rsid w:val="0082200F"/>
    <w:rsid w:val="00935FF0"/>
    <w:rsid w:val="00A22C4D"/>
    <w:rsid w:val="00A7575B"/>
    <w:rsid w:val="00C876A7"/>
    <w:rsid w:val="00CB0A36"/>
    <w:rsid w:val="00DC5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A505D"/>
  <w15:chartTrackingRefBased/>
  <w15:docId w15:val="{8DCFF06C-05E7-4EC2-8986-AEF196F0B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Calibri"/>
        <w:sz w:val="24"/>
        <w:lang w:val="it-IT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57A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750</TotalTime>
  <Pages>5</Pages>
  <Words>3204</Words>
  <Characters>18267</Characters>
  <Application>Microsoft Office Word</Application>
  <DocSecurity>0</DocSecurity>
  <Lines>152</Lines>
  <Paragraphs>42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Giglio</dc:creator>
  <cp:keywords/>
  <dc:description/>
  <cp:lastModifiedBy>Vincenzo Giglio</cp:lastModifiedBy>
  <cp:revision>9</cp:revision>
  <dcterms:created xsi:type="dcterms:W3CDTF">2022-09-09T14:48:00Z</dcterms:created>
  <dcterms:modified xsi:type="dcterms:W3CDTF">2022-09-10T04:42:00Z</dcterms:modified>
</cp:coreProperties>
</file>